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0ED51" w14:textId="77777777" w:rsidR="006A3B76" w:rsidRPr="006A3B76" w:rsidRDefault="006A3B76" w:rsidP="006A3B76">
      <w:pPr>
        <w:spacing w:line="480" w:lineRule="auto"/>
        <w:ind w:firstLine="720"/>
        <w:rPr>
          <w:rFonts w:ascii="Times New Roman" w:hAnsi="Times New Roman" w:cs="Times New Roman"/>
          <w:sz w:val="24"/>
          <w:szCs w:val="24"/>
        </w:rPr>
      </w:pPr>
    </w:p>
    <w:p w14:paraId="1EE34E0A" w14:textId="77777777" w:rsidR="006A3B76" w:rsidRPr="006A3B76" w:rsidRDefault="006A3B76" w:rsidP="006A3B76">
      <w:pPr>
        <w:spacing w:line="480" w:lineRule="auto"/>
        <w:ind w:firstLine="720"/>
        <w:jc w:val="center"/>
        <w:rPr>
          <w:rFonts w:ascii="Times New Roman" w:hAnsi="Times New Roman" w:cs="Times New Roman"/>
          <w:sz w:val="24"/>
          <w:szCs w:val="24"/>
        </w:rPr>
      </w:pPr>
    </w:p>
    <w:p w14:paraId="4DF3A7AE" w14:textId="77777777" w:rsidR="006A3B76" w:rsidRPr="006A3B76" w:rsidRDefault="006A3B76" w:rsidP="006A3B76">
      <w:pPr>
        <w:spacing w:line="480" w:lineRule="auto"/>
        <w:ind w:firstLine="720"/>
        <w:jc w:val="center"/>
        <w:rPr>
          <w:rFonts w:ascii="Times New Roman" w:hAnsi="Times New Roman" w:cs="Times New Roman"/>
          <w:sz w:val="24"/>
          <w:szCs w:val="24"/>
        </w:rPr>
      </w:pPr>
    </w:p>
    <w:p w14:paraId="76312528" w14:textId="77777777" w:rsidR="006A3B76" w:rsidRPr="006A3B76" w:rsidRDefault="006A3B76" w:rsidP="006C4FF2">
      <w:pPr>
        <w:spacing w:line="480" w:lineRule="auto"/>
        <w:rPr>
          <w:rFonts w:ascii="Times New Roman" w:hAnsi="Times New Roman" w:cs="Times New Roman"/>
          <w:sz w:val="24"/>
          <w:szCs w:val="24"/>
        </w:rPr>
      </w:pPr>
      <w:bookmarkStart w:id="0" w:name="_GoBack"/>
      <w:bookmarkEnd w:id="0"/>
    </w:p>
    <w:p w14:paraId="5FB282F6" w14:textId="38BAED5F" w:rsidR="006A3B76" w:rsidRPr="006A3B76" w:rsidRDefault="00F974EC" w:rsidP="006A3B76">
      <w:pPr>
        <w:spacing w:line="480" w:lineRule="auto"/>
        <w:ind w:firstLine="720"/>
        <w:jc w:val="center"/>
        <w:rPr>
          <w:rFonts w:ascii="Times New Roman" w:hAnsi="Times New Roman" w:cs="Times New Roman"/>
          <w:sz w:val="24"/>
          <w:szCs w:val="24"/>
        </w:rPr>
      </w:pPr>
      <w:r w:rsidRPr="006A3B76">
        <w:rPr>
          <w:rFonts w:ascii="Times New Roman" w:hAnsi="Times New Roman" w:cs="Times New Roman"/>
          <w:sz w:val="24"/>
          <w:szCs w:val="24"/>
        </w:rPr>
        <w:t>Disability Data</w:t>
      </w:r>
    </w:p>
    <w:p w14:paraId="1774F549" w14:textId="169702D2" w:rsidR="006A3B76" w:rsidRPr="006A3B76" w:rsidRDefault="00F974EC" w:rsidP="006A3B76">
      <w:pPr>
        <w:spacing w:line="480" w:lineRule="auto"/>
        <w:ind w:firstLine="720"/>
        <w:jc w:val="center"/>
        <w:rPr>
          <w:rFonts w:ascii="Times New Roman" w:hAnsi="Times New Roman" w:cs="Times New Roman"/>
          <w:sz w:val="24"/>
          <w:szCs w:val="24"/>
        </w:rPr>
      </w:pPr>
      <w:r w:rsidRPr="006A3B76">
        <w:rPr>
          <w:rFonts w:ascii="Times New Roman" w:hAnsi="Times New Roman" w:cs="Times New Roman"/>
          <w:sz w:val="24"/>
          <w:szCs w:val="24"/>
        </w:rPr>
        <w:t xml:space="preserve">Student’s Name </w:t>
      </w:r>
    </w:p>
    <w:p w14:paraId="3A53F4C0" w14:textId="09A2DB07" w:rsidR="006A3B76" w:rsidRPr="006A3B76" w:rsidRDefault="00F974EC" w:rsidP="006A3B76">
      <w:pPr>
        <w:spacing w:line="480" w:lineRule="auto"/>
        <w:ind w:firstLine="720"/>
        <w:jc w:val="center"/>
        <w:rPr>
          <w:rFonts w:ascii="Times New Roman" w:hAnsi="Times New Roman" w:cs="Times New Roman"/>
          <w:sz w:val="24"/>
          <w:szCs w:val="24"/>
        </w:rPr>
      </w:pPr>
      <w:r w:rsidRPr="006A3B76">
        <w:rPr>
          <w:rFonts w:ascii="Times New Roman" w:hAnsi="Times New Roman" w:cs="Times New Roman"/>
          <w:sz w:val="24"/>
          <w:szCs w:val="24"/>
        </w:rPr>
        <w:t xml:space="preserve">Instructor’s Name </w:t>
      </w:r>
    </w:p>
    <w:p w14:paraId="47B94DBF" w14:textId="3EFBB820" w:rsidR="006A3B76" w:rsidRPr="006A3B76" w:rsidRDefault="00F974EC" w:rsidP="006A3B76">
      <w:pPr>
        <w:spacing w:line="480" w:lineRule="auto"/>
        <w:ind w:firstLine="720"/>
        <w:jc w:val="center"/>
        <w:rPr>
          <w:rFonts w:ascii="Times New Roman" w:hAnsi="Times New Roman" w:cs="Times New Roman"/>
          <w:sz w:val="24"/>
          <w:szCs w:val="24"/>
        </w:rPr>
      </w:pPr>
      <w:r w:rsidRPr="006A3B76">
        <w:rPr>
          <w:rFonts w:ascii="Times New Roman" w:hAnsi="Times New Roman" w:cs="Times New Roman"/>
          <w:sz w:val="24"/>
          <w:szCs w:val="24"/>
        </w:rPr>
        <w:t xml:space="preserve">Date </w:t>
      </w:r>
    </w:p>
    <w:p w14:paraId="493F469D" w14:textId="77777777" w:rsidR="006A3B76" w:rsidRPr="006A3B76" w:rsidRDefault="006A3B76" w:rsidP="006A3B76">
      <w:pPr>
        <w:spacing w:line="480" w:lineRule="auto"/>
        <w:ind w:firstLine="720"/>
        <w:rPr>
          <w:rFonts w:ascii="Times New Roman" w:hAnsi="Times New Roman" w:cs="Times New Roman"/>
          <w:sz w:val="24"/>
          <w:szCs w:val="24"/>
        </w:rPr>
      </w:pPr>
    </w:p>
    <w:p w14:paraId="5276E83C" w14:textId="77777777" w:rsidR="006A3B76" w:rsidRPr="006A3B76" w:rsidRDefault="006A3B76" w:rsidP="006A3B76">
      <w:pPr>
        <w:spacing w:line="480" w:lineRule="auto"/>
        <w:ind w:firstLine="720"/>
        <w:rPr>
          <w:rFonts w:ascii="Times New Roman" w:hAnsi="Times New Roman" w:cs="Times New Roman"/>
          <w:sz w:val="24"/>
          <w:szCs w:val="24"/>
        </w:rPr>
      </w:pPr>
    </w:p>
    <w:p w14:paraId="6269D500" w14:textId="77777777" w:rsidR="006A3B76" w:rsidRPr="006A3B76" w:rsidRDefault="006A3B76" w:rsidP="006A3B76">
      <w:pPr>
        <w:spacing w:line="480" w:lineRule="auto"/>
        <w:rPr>
          <w:rFonts w:ascii="Times New Roman" w:hAnsi="Times New Roman" w:cs="Times New Roman"/>
          <w:sz w:val="24"/>
          <w:szCs w:val="24"/>
        </w:rPr>
      </w:pPr>
    </w:p>
    <w:p w14:paraId="2BBA2102" w14:textId="77777777" w:rsidR="006A3B76" w:rsidRPr="006A3B76" w:rsidRDefault="006A3B76" w:rsidP="006A3B76">
      <w:pPr>
        <w:spacing w:line="480" w:lineRule="auto"/>
        <w:ind w:firstLine="720"/>
        <w:rPr>
          <w:rFonts w:ascii="Times New Roman" w:hAnsi="Times New Roman" w:cs="Times New Roman"/>
          <w:sz w:val="24"/>
          <w:szCs w:val="24"/>
        </w:rPr>
      </w:pPr>
    </w:p>
    <w:p w14:paraId="397C5689" w14:textId="77777777" w:rsidR="006A3B76" w:rsidRPr="006A3B76" w:rsidRDefault="006A3B76" w:rsidP="00477247">
      <w:pPr>
        <w:spacing w:line="480" w:lineRule="auto"/>
        <w:rPr>
          <w:rFonts w:ascii="Times New Roman" w:hAnsi="Times New Roman" w:cs="Times New Roman"/>
          <w:sz w:val="24"/>
          <w:szCs w:val="24"/>
        </w:rPr>
      </w:pPr>
    </w:p>
    <w:p w14:paraId="658EE599" w14:textId="77777777" w:rsidR="00477247" w:rsidRDefault="00F974EC">
      <w:pPr>
        <w:rPr>
          <w:rFonts w:ascii="Times New Roman" w:hAnsi="Times New Roman" w:cs="Times New Roman"/>
          <w:sz w:val="24"/>
          <w:szCs w:val="24"/>
        </w:rPr>
      </w:pPr>
      <w:r>
        <w:rPr>
          <w:rFonts w:ascii="Times New Roman" w:hAnsi="Times New Roman" w:cs="Times New Roman"/>
          <w:sz w:val="24"/>
          <w:szCs w:val="24"/>
        </w:rPr>
        <w:br w:type="page"/>
      </w:r>
    </w:p>
    <w:p w14:paraId="5C858180" w14:textId="0D1E7C30" w:rsidR="006A3B76" w:rsidRPr="006A3B76" w:rsidRDefault="00F974EC" w:rsidP="00477247">
      <w:pPr>
        <w:spacing w:line="480" w:lineRule="auto"/>
        <w:ind w:firstLine="720"/>
        <w:jc w:val="center"/>
        <w:rPr>
          <w:rFonts w:ascii="Times New Roman" w:hAnsi="Times New Roman" w:cs="Times New Roman"/>
          <w:sz w:val="24"/>
          <w:szCs w:val="24"/>
        </w:rPr>
      </w:pPr>
      <w:r w:rsidRPr="006A3B76">
        <w:rPr>
          <w:rFonts w:ascii="Times New Roman" w:hAnsi="Times New Roman" w:cs="Times New Roman"/>
          <w:sz w:val="24"/>
          <w:szCs w:val="24"/>
        </w:rPr>
        <w:lastRenderedPageBreak/>
        <w:t>Disability Data</w:t>
      </w:r>
    </w:p>
    <w:p w14:paraId="5C119CC6" w14:textId="77777777" w:rsid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Disability should not be regarded as a hindrance to success. Looking at the available data and report on disability, it turns out that people living with a disability </w:t>
      </w:r>
      <w:r w:rsidRPr="006A3B76">
        <w:rPr>
          <w:rFonts w:ascii="Times New Roman" w:hAnsi="Times New Roman" w:cs="Times New Roman"/>
          <w:sz w:val="24"/>
          <w:szCs w:val="24"/>
        </w:rPr>
        <w:t>can be more profitable in society if not subjected to stigma. The data on disability plays an important role in helping the society understand disability as well as its impact on the community and individual. The data explores various obstacles that people</w:t>
      </w:r>
      <w:r w:rsidRPr="006A3B76">
        <w:rPr>
          <w:rFonts w:ascii="Times New Roman" w:hAnsi="Times New Roman" w:cs="Times New Roman"/>
          <w:sz w:val="24"/>
          <w:szCs w:val="24"/>
        </w:rPr>
        <w:t xml:space="preserve"> living with a disability experience, including financial, attitudinal, and physical</w:t>
      </w:r>
      <w:r>
        <w:rPr>
          <w:rFonts w:ascii="Times New Roman" w:hAnsi="Times New Roman" w:cs="Times New Roman"/>
          <w:sz w:val="24"/>
          <w:szCs w:val="24"/>
        </w:rPr>
        <w:t xml:space="preserve"> difficulties</w:t>
      </w:r>
      <w:r w:rsidRPr="006A3B76">
        <w:rPr>
          <w:rFonts w:ascii="Times New Roman" w:hAnsi="Times New Roman" w:cs="Times New Roman"/>
          <w:sz w:val="24"/>
          <w:szCs w:val="24"/>
        </w:rPr>
        <w:t>. Disability forms part of human life (Sabariego et al., 2015).</w:t>
      </w:r>
    </w:p>
    <w:p w14:paraId="003BE464" w14:textId="65B7ED25"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 Nearly every person will either permanently or temporarily be impaired in one way or another a</w:t>
      </w:r>
      <w:r w:rsidRPr="006A3B76">
        <w:rPr>
          <w:rFonts w:ascii="Times New Roman" w:hAnsi="Times New Roman" w:cs="Times New Roman"/>
          <w:sz w:val="24"/>
          <w:szCs w:val="24"/>
        </w:rPr>
        <w:t>t some point in life. Those people who survive the impairment to their senior age undergo increasing problems in their day to day operation. Many of the families have one of their members disabled, and it remains that the many who are not disabled are expe</w:t>
      </w:r>
      <w:r w:rsidRPr="006A3B76">
        <w:rPr>
          <w:rFonts w:ascii="Times New Roman" w:hAnsi="Times New Roman" w:cs="Times New Roman"/>
          <w:sz w:val="24"/>
          <w:szCs w:val="24"/>
        </w:rPr>
        <w:t>cted to take care and support people with disabilities. Reaction to disability has had development since 1970, which is significantly influenced by the self-organization of individuals living with disabilities. Additionally, the positive response of the wo</w:t>
      </w:r>
      <w:r w:rsidRPr="006A3B76">
        <w:rPr>
          <w:rFonts w:ascii="Times New Roman" w:hAnsi="Times New Roman" w:cs="Times New Roman"/>
          <w:sz w:val="24"/>
          <w:szCs w:val="24"/>
        </w:rPr>
        <w:t>rld towards people living with a disability has grown as a consequence of authorities and organization acknowledging disability as a human rights problem.</w:t>
      </w:r>
    </w:p>
    <w:p w14:paraId="14B573B2" w14:textId="2BDD3A0C"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Historically, services to disabled people have been provided through special schools and residential </w:t>
      </w:r>
      <w:r w:rsidRPr="006A3B76">
        <w:rPr>
          <w:rFonts w:ascii="Times New Roman" w:hAnsi="Times New Roman" w:cs="Times New Roman"/>
          <w:sz w:val="24"/>
          <w:szCs w:val="24"/>
        </w:rPr>
        <w:t xml:space="preserve">institutions. Policies have now changed, and focus is directed on educational and community inclusion as well as medically-based solutions that have switched to interactive programs that recognize that disability comes as a result of environmental factors </w:t>
      </w:r>
      <w:r w:rsidRPr="006A3B76">
        <w:rPr>
          <w:rFonts w:ascii="Times New Roman" w:hAnsi="Times New Roman" w:cs="Times New Roman"/>
          <w:sz w:val="24"/>
          <w:szCs w:val="24"/>
        </w:rPr>
        <w:t>and bo</w:t>
      </w:r>
      <w:r w:rsidR="00477247">
        <w:rPr>
          <w:rFonts w:ascii="Times New Roman" w:hAnsi="Times New Roman" w:cs="Times New Roman"/>
          <w:sz w:val="24"/>
          <w:szCs w:val="24"/>
        </w:rPr>
        <w:t>dy problems. According to Stein</w:t>
      </w:r>
      <w:r w:rsidRPr="006A3B76">
        <w:rPr>
          <w:rFonts w:ascii="Times New Roman" w:hAnsi="Times New Roman" w:cs="Times New Roman"/>
          <w:sz w:val="24"/>
          <w:szCs w:val="24"/>
        </w:rPr>
        <w:t xml:space="preserve"> (2017), empirical data on the connection between poverty and disability in its different dimension which include non-income and income is greatly varied between developing and developed nations with most of the data em</w:t>
      </w:r>
      <w:r w:rsidRPr="006A3B76">
        <w:rPr>
          <w:rFonts w:ascii="Times New Roman" w:hAnsi="Times New Roman" w:cs="Times New Roman"/>
          <w:sz w:val="24"/>
          <w:szCs w:val="24"/>
        </w:rPr>
        <w:t xml:space="preserve">erging from developed </w:t>
      </w:r>
      <w:r w:rsidRPr="006A3B76">
        <w:rPr>
          <w:rFonts w:ascii="Times New Roman" w:hAnsi="Times New Roman" w:cs="Times New Roman"/>
          <w:sz w:val="24"/>
          <w:szCs w:val="24"/>
        </w:rPr>
        <w:lastRenderedPageBreak/>
        <w:t xml:space="preserve">nations. However, longitudinal sets of data that establish the causal link between poverty and disability are hardly found even in </w:t>
      </w:r>
      <w:r w:rsidR="00F925D0">
        <w:rPr>
          <w:rFonts w:ascii="Times New Roman" w:hAnsi="Times New Roman" w:cs="Times New Roman"/>
          <w:sz w:val="24"/>
          <w:szCs w:val="24"/>
        </w:rPr>
        <w:t xml:space="preserve">already </w:t>
      </w:r>
      <w:r w:rsidRPr="006A3B76">
        <w:rPr>
          <w:rFonts w:ascii="Times New Roman" w:hAnsi="Times New Roman" w:cs="Times New Roman"/>
          <w:sz w:val="24"/>
          <w:szCs w:val="24"/>
        </w:rPr>
        <w:t>developed countries.</w:t>
      </w:r>
    </w:p>
    <w:p w14:paraId="10244351" w14:textId="2FBE1FF8"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People living with disabilities are subjected to worse labor market result</w:t>
      </w:r>
      <w:r w:rsidRPr="006A3B76">
        <w:rPr>
          <w:rFonts w:ascii="Times New Roman" w:hAnsi="Times New Roman" w:cs="Times New Roman"/>
          <w:sz w:val="24"/>
          <w:szCs w:val="24"/>
        </w:rPr>
        <w:t>s and educational opportunities. Moreover,</w:t>
      </w:r>
      <w:r w:rsidR="00F925D0">
        <w:rPr>
          <w:rFonts w:ascii="Times New Roman" w:hAnsi="Times New Roman" w:cs="Times New Roman"/>
          <w:sz w:val="24"/>
          <w:szCs w:val="24"/>
        </w:rPr>
        <w:t xml:space="preserve"> disabled people have a likelihood</w:t>
      </w:r>
      <w:r w:rsidRPr="006A3B76">
        <w:rPr>
          <w:rFonts w:ascii="Times New Roman" w:hAnsi="Times New Roman" w:cs="Times New Roman"/>
          <w:sz w:val="24"/>
          <w:szCs w:val="24"/>
        </w:rPr>
        <w:t xml:space="preserve"> to be poor than individuals with no disabilities. From data obtained from the organization for economic cooperation and development (OECD) after surveying 20 high income and upper</w:t>
      </w:r>
      <w:r w:rsidRPr="006A3B76">
        <w:rPr>
          <w:rFonts w:ascii="Times New Roman" w:hAnsi="Times New Roman" w:cs="Times New Roman"/>
          <w:sz w:val="24"/>
          <w:szCs w:val="24"/>
        </w:rPr>
        <w:t>-middle-income countries found that there are higher poverty levels among the workers living with disabilities than those without disabilities (Stein, 2017). The rate of poverty among the working-age of disabled about the working-age of nondisabled individ</w:t>
      </w:r>
      <w:r w:rsidRPr="006A3B76">
        <w:rPr>
          <w:rFonts w:ascii="Times New Roman" w:hAnsi="Times New Roman" w:cs="Times New Roman"/>
          <w:sz w:val="24"/>
          <w:szCs w:val="24"/>
        </w:rPr>
        <w:t>uals was found to be higher in the Republic of Korea, Australia, and Ireland. In countries such as the Netherlands, Iceland, and Mexico, the poverty rate between the disabled and nondisabled was recorded to be lower.</w:t>
      </w:r>
    </w:p>
    <w:p w14:paraId="5A373F7D" w14:textId="77777777"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People within the age of working and li</w:t>
      </w:r>
      <w:r w:rsidRPr="006A3B76">
        <w:rPr>
          <w:rFonts w:ascii="Times New Roman" w:hAnsi="Times New Roman" w:cs="Times New Roman"/>
          <w:sz w:val="24"/>
          <w:szCs w:val="24"/>
        </w:rPr>
        <w:t>ving with disabilities were reported to be twice likely unemployment. In the case that the disabled manage to secure an employment opportunity, very often, they work part-time. Unless the disabled are highly learned and have a job, the data showed that the</w:t>
      </w:r>
      <w:r w:rsidRPr="006A3B76">
        <w:rPr>
          <w:rFonts w:ascii="Times New Roman" w:hAnsi="Times New Roman" w:cs="Times New Roman"/>
          <w:sz w:val="24"/>
          <w:szCs w:val="24"/>
        </w:rPr>
        <w:t>y had low incomes, hence living in poverty. To a more significant extent, the data provide crucial information about the outcomes of the labor market, the situation of poverty of disabled individuals and within the working age. Limited sets of data give in</w:t>
      </w:r>
      <w:r w:rsidRPr="006A3B76">
        <w:rPr>
          <w:rFonts w:ascii="Times New Roman" w:hAnsi="Times New Roman" w:cs="Times New Roman"/>
          <w:sz w:val="24"/>
          <w:szCs w:val="24"/>
        </w:rPr>
        <w:t>formation about the socioeconomic status before the people survived disability and what exactly happened after the occurrence of disability.</w:t>
      </w:r>
    </w:p>
    <w:p w14:paraId="148B923C" w14:textId="5B5C2593"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A particular study which utilized the British household panel research between 2010 and 2015 found that not being in a paid job or having limited education was a selection element for people living with a disability (Moodley &amp; Graham, 2015). Additionally, </w:t>
      </w:r>
      <w:r w:rsidRPr="006A3B76">
        <w:rPr>
          <w:rFonts w:ascii="Times New Roman" w:hAnsi="Times New Roman" w:cs="Times New Roman"/>
          <w:sz w:val="24"/>
          <w:szCs w:val="24"/>
        </w:rPr>
        <w:t xml:space="preserve">the study demonstrated that the rates of employment were spread between the onset of one’s disability, and it continues </w:t>
      </w:r>
      <w:r w:rsidRPr="006A3B76">
        <w:rPr>
          <w:rFonts w:ascii="Times New Roman" w:hAnsi="Times New Roman" w:cs="Times New Roman"/>
          <w:sz w:val="24"/>
          <w:szCs w:val="24"/>
        </w:rPr>
        <w:lastRenderedPageBreak/>
        <w:t>to affect the individuals in the duration of their disability. This indicated that some people were forced to quit their jobs the moment</w:t>
      </w:r>
      <w:r w:rsidRPr="006A3B76">
        <w:rPr>
          <w:rFonts w:ascii="Times New Roman" w:hAnsi="Times New Roman" w:cs="Times New Roman"/>
          <w:sz w:val="24"/>
          <w:szCs w:val="24"/>
        </w:rPr>
        <w:t xml:space="preserve"> they became disabled. From the average data income lied within the onset of the disability, but it was subsequently recovered but not to the levels that would be treated as pre-disability. Other compelling data from researches have tried to assess the rat</w:t>
      </w:r>
      <w:r w:rsidRPr="006A3B76">
        <w:rPr>
          <w:rFonts w:ascii="Times New Roman" w:hAnsi="Times New Roman" w:cs="Times New Roman"/>
          <w:sz w:val="24"/>
          <w:szCs w:val="24"/>
        </w:rPr>
        <w:t>e of poverty levels in the families of people living with disabilities putting into consideration the additional cost of</w:t>
      </w:r>
      <w:r w:rsidR="007F7CB3">
        <w:rPr>
          <w:rFonts w:ascii="Times New Roman" w:hAnsi="Times New Roman" w:cs="Times New Roman"/>
          <w:sz w:val="24"/>
          <w:szCs w:val="24"/>
        </w:rPr>
        <w:t xml:space="preserve"> living with the situation. A U</w:t>
      </w:r>
      <w:r w:rsidRPr="006A3B76">
        <w:rPr>
          <w:rFonts w:ascii="Times New Roman" w:hAnsi="Times New Roman" w:cs="Times New Roman"/>
          <w:sz w:val="24"/>
          <w:szCs w:val="24"/>
        </w:rPr>
        <w:t>S-based study recorded that in 2005 the rate of poverty among the families with disabled individuals, rel</w:t>
      </w:r>
      <w:r w:rsidRPr="006A3B76">
        <w:rPr>
          <w:rFonts w:ascii="Times New Roman" w:hAnsi="Times New Roman" w:cs="Times New Roman"/>
          <w:sz w:val="24"/>
          <w:szCs w:val="24"/>
        </w:rPr>
        <w:t>ying on the assumptions applied, was 30% to 40% higher after the equalization of disability using a median threshold of income of 60% (Ailliet et al., 2015).</w:t>
      </w:r>
    </w:p>
    <w:p w14:paraId="4975BC19" w14:textId="77777777"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In developing countries, the socioeconomic status of individuals living with disabilities, though </w:t>
      </w:r>
      <w:r w:rsidRPr="006A3B76">
        <w:rPr>
          <w:rFonts w:ascii="Times New Roman" w:hAnsi="Times New Roman" w:cs="Times New Roman"/>
          <w:sz w:val="24"/>
          <w:szCs w:val="24"/>
        </w:rPr>
        <w:t>minimal has significantly changed. Descriptive data for disabled people infer that these people are much disadvantaged when it comes to attainment of education and employment. The data is not inclusive for the status of poverty assessed by the ownership of</w:t>
      </w:r>
      <w:r w:rsidRPr="006A3B76">
        <w:rPr>
          <w:rFonts w:ascii="Times New Roman" w:hAnsi="Times New Roman" w:cs="Times New Roman"/>
          <w:sz w:val="24"/>
          <w:szCs w:val="24"/>
        </w:rPr>
        <w:t xml:space="preserve"> assets income standards, consumption expenditures as well as living conditions. Most of the data indicated that disabled people have lower rates of employment as well as educational attainment is low than their colleagues without disabilities. In Uruguay </w:t>
      </w:r>
      <w:r w:rsidRPr="006A3B76">
        <w:rPr>
          <w:rFonts w:ascii="Times New Roman" w:hAnsi="Times New Roman" w:cs="Times New Roman"/>
          <w:sz w:val="24"/>
          <w:szCs w:val="24"/>
        </w:rPr>
        <w:t xml:space="preserve">and Chile, the scenario is better among the youths living with disabilities than older people since there are more educational opportunities for younger cohorts than older people (Ailliet et al., 2015). This is attributed to the fact that young groups may </w:t>
      </w:r>
      <w:r w:rsidRPr="006A3B76">
        <w:rPr>
          <w:rFonts w:ascii="Times New Roman" w:hAnsi="Times New Roman" w:cs="Times New Roman"/>
          <w:sz w:val="24"/>
          <w:szCs w:val="24"/>
        </w:rPr>
        <w:t>enjoy a sufficient allocation of extra resources. Looking at the cross-sectional data for education, it is projected that children disabilities report lower attendance to schools. An evaluation of the world health research for 15 developing nations indicat</w:t>
      </w:r>
      <w:r w:rsidRPr="006A3B76">
        <w:rPr>
          <w:rFonts w:ascii="Times New Roman" w:hAnsi="Times New Roman" w:cs="Times New Roman"/>
          <w:sz w:val="24"/>
          <w:szCs w:val="24"/>
        </w:rPr>
        <w:t>e that households with people who are disabled spend much more on health than households without disabled members.</w:t>
      </w:r>
    </w:p>
    <w:p w14:paraId="44BDDCAE" w14:textId="45EB833C"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lastRenderedPageBreak/>
        <w:t>A study conducted in Sierra Leone suggests that families with one of their members living with disabilities spent an average of 1.5 times mor</w:t>
      </w:r>
      <w:r w:rsidRPr="006A3B76">
        <w:rPr>
          <w:rFonts w:ascii="Times New Roman" w:hAnsi="Times New Roman" w:cs="Times New Roman"/>
          <w:sz w:val="24"/>
          <w:szCs w:val="24"/>
        </w:rPr>
        <w:t>e on seeking medical attention than did the nondisabled families. Data for household consumption expenditures and income have limited conclusive. For instance, families with disabilities in Malawi and Namibia were recorded to have lower incomes while the h</w:t>
      </w:r>
      <w:r w:rsidRPr="006A3B76">
        <w:rPr>
          <w:rFonts w:ascii="Times New Roman" w:hAnsi="Times New Roman" w:cs="Times New Roman"/>
          <w:sz w:val="24"/>
          <w:szCs w:val="24"/>
        </w:rPr>
        <w:t>ouseholds in Zambia, Zimbabwe, and Sie</w:t>
      </w:r>
      <w:r w:rsidR="00477247">
        <w:rPr>
          <w:rFonts w:ascii="Times New Roman" w:hAnsi="Times New Roman" w:cs="Times New Roman"/>
          <w:sz w:val="24"/>
          <w:szCs w:val="24"/>
        </w:rPr>
        <w:t>rra Leone are different. Bogart</w:t>
      </w:r>
      <w:r w:rsidRPr="006A3B76">
        <w:rPr>
          <w:rFonts w:ascii="Times New Roman" w:hAnsi="Times New Roman" w:cs="Times New Roman"/>
          <w:sz w:val="24"/>
          <w:szCs w:val="24"/>
        </w:rPr>
        <w:t xml:space="preserve"> (2015) asserts that in South Africa study shows that as a consequence of providing grants for disability, families having a disabled member in the Eastern side of Cape province recorded </w:t>
      </w:r>
      <w:r w:rsidRPr="006A3B76">
        <w:rPr>
          <w:rFonts w:ascii="Times New Roman" w:hAnsi="Times New Roman" w:cs="Times New Roman"/>
          <w:sz w:val="24"/>
          <w:szCs w:val="24"/>
        </w:rPr>
        <w:t>higher income when living without a disabled member.</w:t>
      </w:r>
    </w:p>
    <w:p w14:paraId="42C7D1A2" w14:textId="17AE367A"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Data on poverty is assessed by examining capita consumption expenditures. The data presented from an analysis of 15 household surveys from 13 developing nations demonstrated that adults living with disab</w:t>
      </w:r>
      <w:r w:rsidRPr="006A3B76">
        <w:rPr>
          <w:rFonts w:ascii="Times New Roman" w:hAnsi="Times New Roman" w:cs="Times New Roman"/>
          <w:sz w:val="24"/>
          <w:szCs w:val="24"/>
        </w:rPr>
        <w:t>ilities were living in adverse poverty compared to households without a disabled adult. Another study carried out by world health survey, released data indicating that families with disabilities were more affected by poverty than nonhealthy per capita cons</w:t>
      </w:r>
      <w:r w:rsidRPr="006A3B76">
        <w:rPr>
          <w:rFonts w:ascii="Times New Roman" w:hAnsi="Times New Roman" w:cs="Times New Roman"/>
          <w:sz w:val="24"/>
          <w:szCs w:val="24"/>
        </w:rPr>
        <w:t xml:space="preserve">umption expenditures (Sabariego et al., 2015). Present data, </w:t>
      </w:r>
      <w:r>
        <w:rPr>
          <w:rFonts w:ascii="Times New Roman" w:hAnsi="Times New Roman" w:cs="Times New Roman"/>
          <w:sz w:val="24"/>
          <w:szCs w:val="24"/>
        </w:rPr>
        <w:t xml:space="preserve">on </w:t>
      </w:r>
      <w:r w:rsidRPr="006A3B76">
        <w:rPr>
          <w:rFonts w:ascii="Times New Roman" w:hAnsi="Times New Roman" w:cs="Times New Roman"/>
          <w:sz w:val="24"/>
          <w:szCs w:val="24"/>
        </w:rPr>
        <w:t>whether disability increases the chances of households languishing in poverty are mixed. In countries such as Uruguay disability has no significant influence on one’s probability of being poor</w:t>
      </w:r>
      <w:r w:rsidRPr="006A3B76">
        <w:rPr>
          <w:rFonts w:ascii="Times New Roman" w:hAnsi="Times New Roman" w:cs="Times New Roman"/>
          <w:sz w:val="24"/>
          <w:szCs w:val="24"/>
        </w:rPr>
        <w:t xml:space="preserve"> unless it happens that the sole breadwinner is severely affected by the disability. However, in Chile, the situation is different since impairment increases the chances of one being poor. In another study contacted in 13, developing countries, disability </w:t>
      </w:r>
      <w:r w:rsidRPr="006A3B76">
        <w:rPr>
          <w:rFonts w:ascii="Times New Roman" w:hAnsi="Times New Roman" w:cs="Times New Roman"/>
          <w:sz w:val="24"/>
          <w:szCs w:val="24"/>
        </w:rPr>
        <w:t>was closely related to the probability of households being poor. When poverty is evaluated by exploring the lowest quintiles of a household assets possession or expenditures, it is often found that disability affects the living standards of individuals. Th</w:t>
      </w:r>
      <w:r w:rsidRPr="006A3B76">
        <w:rPr>
          <w:rFonts w:ascii="Times New Roman" w:hAnsi="Times New Roman" w:cs="Times New Roman"/>
          <w:sz w:val="24"/>
          <w:szCs w:val="24"/>
        </w:rPr>
        <w:t xml:space="preserve">is is attributed to the fact that educational opportunities and </w:t>
      </w:r>
      <w:r w:rsidRPr="006A3B76">
        <w:rPr>
          <w:rFonts w:ascii="Times New Roman" w:hAnsi="Times New Roman" w:cs="Times New Roman"/>
          <w:sz w:val="24"/>
          <w:szCs w:val="24"/>
        </w:rPr>
        <w:lastRenderedPageBreak/>
        <w:t xml:space="preserve">employment are </w:t>
      </w:r>
      <w:r>
        <w:rPr>
          <w:rFonts w:ascii="Times New Roman" w:hAnsi="Times New Roman" w:cs="Times New Roman"/>
          <w:sz w:val="24"/>
          <w:szCs w:val="24"/>
        </w:rPr>
        <w:t xml:space="preserve">not </w:t>
      </w:r>
      <w:r w:rsidRPr="006A3B76">
        <w:rPr>
          <w:rFonts w:ascii="Times New Roman" w:hAnsi="Times New Roman" w:cs="Times New Roman"/>
          <w:sz w:val="24"/>
          <w:szCs w:val="24"/>
        </w:rPr>
        <w:t>attainable on the same threshold between the disabled and nondisabled members of the society.</w:t>
      </w:r>
    </w:p>
    <w:p w14:paraId="3F4DEE7D" w14:textId="06C20634" w:rsidR="006A3B76" w:rsidRPr="006A3B76" w:rsidRDefault="00F974EC" w:rsidP="006A3B76">
      <w:pPr>
        <w:spacing w:line="480" w:lineRule="auto"/>
        <w:ind w:firstLine="720"/>
        <w:rPr>
          <w:rFonts w:ascii="Times New Roman" w:hAnsi="Times New Roman" w:cs="Times New Roman"/>
          <w:sz w:val="24"/>
          <w:szCs w:val="24"/>
        </w:rPr>
      </w:pPr>
      <w:r w:rsidRPr="006A3B76">
        <w:rPr>
          <w:rFonts w:ascii="Times New Roman" w:hAnsi="Times New Roman" w:cs="Times New Roman"/>
          <w:sz w:val="24"/>
          <w:szCs w:val="24"/>
        </w:rPr>
        <w:t xml:space="preserve">People living with disabilities may need various special services ranging from </w:t>
      </w:r>
      <w:r w:rsidRPr="006A3B76">
        <w:rPr>
          <w:rFonts w:ascii="Times New Roman" w:hAnsi="Times New Roman" w:cs="Times New Roman"/>
          <w:sz w:val="24"/>
          <w:szCs w:val="24"/>
        </w:rPr>
        <w:t>small and inexpensive services to costly and complex interventions. Data discussing the needs that are met or unmet are critical for programs and formulation of policy. Unmet needs refer to daily activities like employment, social activities, participation</w:t>
      </w:r>
      <w:r w:rsidRPr="006A3B76">
        <w:rPr>
          <w:rFonts w:ascii="Times New Roman" w:hAnsi="Times New Roman" w:cs="Times New Roman"/>
          <w:sz w:val="24"/>
          <w:szCs w:val="24"/>
        </w:rPr>
        <w:t xml:space="preserve"> in education, personal care, availability of support, and modifications to the workplace or residential area. As the table 1 below demonstrates, there are considerable gaps in the provision of services for individuals living with disabilities, having unme</w:t>
      </w:r>
      <w:r w:rsidRPr="006A3B76">
        <w:rPr>
          <w:rFonts w:ascii="Times New Roman" w:hAnsi="Times New Roman" w:cs="Times New Roman"/>
          <w:sz w:val="24"/>
          <w:szCs w:val="24"/>
        </w:rPr>
        <w:t>t needs especially needs necessary for education, welfare, counseling aids, assistive tools, and vocational training.</w:t>
      </w:r>
    </w:p>
    <w:p w14:paraId="251F366E" w14:textId="799CA94F" w:rsidR="006A3B76" w:rsidRPr="006A3B76" w:rsidRDefault="00F974EC" w:rsidP="006A3B76">
      <w:pPr>
        <w:spacing w:line="480" w:lineRule="auto"/>
        <w:rPr>
          <w:rFonts w:ascii="Times New Roman" w:hAnsi="Times New Roman" w:cs="Times New Roman"/>
          <w:i/>
          <w:sz w:val="24"/>
          <w:szCs w:val="24"/>
        </w:rPr>
      </w:pPr>
      <w:r w:rsidRPr="006A3B76">
        <w:rPr>
          <w:rFonts w:ascii="Times New Roman" w:hAnsi="Times New Roman" w:cs="Times New Roman"/>
          <w:i/>
          <w:sz w:val="24"/>
          <w:szCs w:val="24"/>
        </w:rPr>
        <w:t>Table 1. Met and unmet requirements for provisions reported by disabled individuals, from four developing countries.</w:t>
      </w:r>
    </w:p>
    <w:tbl>
      <w:tblPr>
        <w:tblStyle w:val="TableGrid"/>
        <w:tblW w:w="8905" w:type="dxa"/>
        <w:tblLook w:val="04A0" w:firstRow="1" w:lastRow="0" w:firstColumn="1" w:lastColumn="0" w:noHBand="0" w:noVBand="1"/>
      </w:tblPr>
      <w:tblGrid>
        <w:gridCol w:w="1471"/>
        <w:gridCol w:w="935"/>
        <w:gridCol w:w="1091"/>
        <w:gridCol w:w="934"/>
        <w:gridCol w:w="1091"/>
        <w:gridCol w:w="934"/>
        <w:gridCol w:w="241"/>
        <w:gridCol w:w="854"/>
        <w:gridCol w:w="934"/>
        <w:gridCol w:w="1091"/>
      </w:tblGrid>
      <w:tr w:rsidR="004E4646" w14:paraId="5FF1FB24" w14:textId="184127E5" w:rsidTr="006A3B76">
        <w:tc>
          <w:tcPr>
            <w:tcW w:w="1426" w:type="dxa"/>
          </w:tcPr>
          <w:p w14:paraId="1F3C3E51" w14:textId="449B1C9E"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Type of service </w:t>
            </w:r>
          </w:p>
        </w:tc>
        <w:tc>
          <w:tcPr>
            <w:tcW w:w="1899" w:type="dxa"/>
            <w:gridSpan w:val="2"/>
          </w:tcPr>
          <w:p w14:paraId="65A7149B" w14:textId="367089E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Zimbabwe (%)</w:t>
            </w:r>
          </w:p>
        </w:tc>
        <w:tc>
          <w:tcPr>
            <w:tcW w:w="1937" w:type="dxa"/>
            <w:gridSpan w:val="2"/>
          </w:tcPr>
          <w:p w14:paraId="082B8A14" w14:textId="6F3F5B7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Malawi (%)</w:t>
            </w:r>
          </w:p>
        </w:tc>
        <w:tc>
          <w:tcPr>
            <w:tcW w:w="1843" w:type="dxa"/>
            <w:gridSpan w:val="3"/>
          </w:tcPr>
          <w:p w14:paraId="5BD357C1" w14:textId="6CA5FF6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Zambia (%)</w:t>
            </w:r>
          </w:p>
        </w:tc>
        <w:tc>
          <w:tcPr>
            <w:tcW w:w="1800" w:type="dxa"/>
            <w:gridSpan w:val="2"/>
          </w:tcPr>
          <w:p w14:paraId="16A44519" w14:textId="37453F8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Namibia (%)</w:t>
            </w:r>
          </w:p>
        </w:tc>
      </w:tr>
      <w:tr w:rsidR="004E4646" w14:paraId="7E9CA9AB" w14:textId="36FB9FCE" w:rsidTr="000E085C">
        <w:tc>
          <w:tcPr>
            <w:tcW w:w="1426" w:type="dxa"/>
          </w:tcPr>
          <w:p w14:paraId="613C70EA" w14:textId="31D8C287" w:rsidR="006A3B76" w:rsidRPr="006A3B76" w:rsidRDefault="006A3B76" w:rsidP="006A3B76">
            <w:pPr>
              <w:spacing w:line="480" w:lineRule="auto"/>
              <w:rPr>
                <w:rFonts w:ascii="Times New Roman" w:hAnsi="Times New Roman" w:cs="Times New Roman"/>
                <w:sz w:val="24"/>
                <w:szCs w:val="24"/>
              </w:rPr>
            </w:pPr>
          </w:p>
        </w:tc>
        <w:tc>
          <w:tcPr>
            <w:tcW w:w="949" w:type="dxa"/>
          </w:tcPr>
          <w:p w14:paraId="25FDA2C6" w14:textId="5F0F887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Needed (A) </w:t>
            </w:r>
          </w:p>
        </w:tc>
        <w:tc>
          <w:tcPr>
            <w:tcW w:w="950" w:type="dxa"/>
          </w:tcPr>
          <w:p w14:paraId="66C49CDE" w14:textId="7694BD9C"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Received (B) </w:t>
            </w:r>
          </w:p>
        </w:tc>
        <w:tc>
          <w:tcPr>
            <w:tcW w:w="968" w:type="dxa"/>
          </w:tcPr>
          <w:p w14:paraId="229D7B77" w14:textId="1A3E8C4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Needed (A)</w:t>
            </w:r>
          </w:p>
        </w:tc>
        <w:tc>
          <w:tcPr>
            <w:tcW w:w="969" w:type="dxa"/>
          </w:tcPr>
          <w:p w14:paraId="12D8814E" w14:textId="6C97370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Received (B) </w:t>
            </w:r>
          </w:p>
        </w:tc>
        <w:tc>
          <w:tcPr>
            <w:tcW w:w="667" w:type="dxa"/>
          </w:tcPr>
          <w:p w14:paraId="38DA0149" w14:textId="1ED5731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Needed (A)</w:t>
            </w:r>
          </w:p>
        </w:tc>
        <w:tc>
          <w:tcPr>
            <w:tcW w:w="1176" w:type="dxa"/>
            <w:gridSpan w:val="2"/>
          </w:tcPr>
          <w:p w14:paraId="48B955F0" w14:textId="7DAC996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Received (B)</w:t>
            </w:r>
          </w:p>
        </w:tc>
        <w:tc>
          <w:tcPr>
            <w:tcW w:w="900" w:type="dxa"/>
          </w:tcPr>
          <w:p w14:paraId="1B9DCF9B" w14:textId="6187376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Needed (A)</w:t>
            </w:r>
          </w:p>
        </w:tc>
        <w:tc>
          <w:tcPr>
            <w:tcW w:w="900" w:type="dxa"/>
          </w:tcPr>
          <w:p w14:paraId="6E2E85DD" w14:textId="712CDCF5"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Received (B) </w:t>
            </w:r>
          </w:p>
        </w:tc>
      </w:tr>
      <w:tr w:rsidR="004E4646" w14:paraId="030AD873" w14:textId="77777777" w:rsidTr="000E085C">
        <w:tc>
          <w:tcPr>
            <w:tcW w:w="1426" w:type="dxa"/>
          </w:tcPr>
          <w:p w14:paraId="7A10BF17" w14:textId="0E7D3519"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Health services </w:t>
            </w:r>
          </w:p>
        </w:tc>
        <w:tc>
          <w:tcPr>
            <w:tcW w:w="949" w:type="dxa"/>
          </w:tcPr>
          <w:p w14:paraId="6F7FCC44" w14:textId="5C45B04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92.7</w:t>
            </w:r>
          </w:p>
        </w:tc>
        <w:tc>
          <w:tcPr>
            <w:tcW w:w="950" w:type="dxa"/>
          </w:tcPr>
          <w:p w14:paraId="14CC30BC" w14:textId="108CB8F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91.0</w:t>
            </w:r>
          </w:p>
        </w:tc>
        <w:tc>
          <w:tcPr>
            <w:tcW w:w="968" w:type="dxa"/>
          </w:tcPr>
          <w:p w14:paraId="787662A7" w14:textId="204D58A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82.4</w:t>
            </w:r>
          </w:p>
        </w:tc>
        <w:tc>
          <w:tcPr>
            <w:tcW w:w="969" w:type="dxa"/>
          </w:tcPr>
          <w:p w14:paraId="70B39002" w14:textId="79C74F1C"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60.0</w:t>
            </w:r>
          </w:p>
        </w:tc>
        <w:tc>
          <w:tcPr>
            <w:tcW w:w="667" w:type="dxa"/>
          </w:tcPr>
          <w:p w14:paraId="33A899EF" w14:textId="61D6785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75.4</w:t>
            </w:r>
          </w:p>
        </w:tc>
        <w:tc>
          <w:tcPr>
            <w:tcW w:w="1176" w:type="dxa"/>
            <w:gridSpan w:val="2"/>
          </w:tcPr>
          <w:p w14:paraId="66262D61" w14:textId="7772B18D"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80.7</w:t>
            </w:r>
          </w:p>
        </w:tc>
        <w:tc>
          <w:tcPr>
            <w:tcW w:w="900" w:type="dxa"/>
          </w:tcPr>
          <w:p w14:paraId="61A7CDFC" w14:textId="29769133"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96.0</w:t>
            </w:r>
          </w:p>
        </w:tc>
        <w:tc>
          <w:tcPr>
            <w:tcW w:w="900" w:type="dxa"/>
          </w:tcPr>
          <w:p w14:paraId="7D961E06" w14:textId="106F7D0C"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73.7</w:t>
            </w:r>
          </w:p>
        </w:tc>
      </w:tr>
      <w:tr w:rsidR="004E4646" w14:paraId="7D360531" w14:textId="09D25BEF" w:rsidTr="00754FA0">
        <w:tc>
          <w:tcPr>
            <w:tcW w:w="1426" w:type="dxa"/>
          </w:tcPr>
          <w:p w14:paraId="5B260360" w14:textId="0CBBAF69"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Assistive devices services  </w:t>
            </w:r>
          </w:p>
        </w:tc>
        <w:tc>
          <w:tcPr>
            <w:tcW w:w="949" w:type="dxa"/>
          </w:tcPr>
          <w:p w14:paraId="6EE74CCB" w14:textId="53DDDFE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55.7</w:t>
            </w:r>
          </w:p>
        </w:tc>
        <w:tc>
          <w:tcPr>
            <w:tcW w:w="950" w:type="dxa"/>
          </w:tcPr>
          <w:p w14:paraId="5C5C5643" w14:textId="5C8CBAC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38.9</w:t>
            </w:r>
          </w:p>
        </w:tc>
        <w:tc>
          <w:tcPr>
            <w:tcW w:w="968" w:type="dxa"/>
          </w:tcPr>
          <w:p w14:paraId="30EDDF0D" w14:textId="54D129E9"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65.4</w:t>
            </w:r>
          </w:p>
        </w:tc>
        <w:tc>
          <w:tcPr>
            <w:tcW w:w="969" w:type="dxa"/>
          </w:tcPr>
          <w:p w14:paraId="320372D7" w14:textId="24137386"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17.5</w:t>
            </w:r>
          </w:p>
        </w:tc>
        <w:tc>
          <w:tcPr>
            <w:tcW w:w="921" w:type="dxa"/>
            <w:gridSpan w:val="2"/>
          </w:tcPr>
          <w:p w14:paraId="68EE82A1" w14:textId="639414B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57.8</w:t>
            </w:r>
          </w:p>
        </w:tc>
        <w:tc>
          <w:tcPr>
            <w:tcW w:w="922" w:type="dxa"/>
          </w:tcPr>
          <w:p w14:paraId="131A47F6" w14:textId="2914D0D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19.3</w:t>
            </w:r>
          </w:p>
        </w:tc>
        <w:tc>
          <w:tcPr>
            <w:tcW w:w="900" w:type="dxa"/>
          </w:tcPr>
          <w:p w14:paraId="0D55609B" w14:textId="57E8D2E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70.7</w:t>
            </w:r>
          </w:p>
        </w:tc>
        <w:tc>
          <w:tcPr>
            <w:tcW w:w="900" w:type="dxa"/>
          </w:tcPr>
          <w:p w14:paraId="661DA1FC" w14:textId="2F8AE1B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18.0</w:t>
            </w:r>
          </w:p>
        </w:tc>
      </w:tr>
      <w:tr w:rsidR="004E4646" w14:paraId="041C521C" w14:textId="19DC294D" w:rsidTr="003B2842">
        <w:tc>
          <w:tcPr>
            <w:tcW w:w="1426" w:type="dxa"/>
          </w:tcPr>
          <w:p w14:paraId="69E646E1" w14:textId="6EA986C7"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Welfare </w:t>
            </w:r>
            <w:r w:rsidRPr="006A3B76">
              <w:rPr>
                <w:rFonts w:ascii="Times New Roman" w:hAnsi="Times New Roman" w:cs="Times New Roman"/>
                <w:sz w:val="24"/>
                <w:szCs w:val="24"/>
              </w:rPr>
              <w:lastRenderedPageBreak/>
              <w:t xml:space="preserve">services </w:t>
            </w:r>
          </w:p>
        </w:tc>
        <w:tc>
          <w:tcPr>
            <w:tcW w:w="949" w:type="dxa"/>
          </w:tcPr>
          <w:p w14:paraId="08862280" w14:textId="44E3702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lastRenderedPageBreak/>
              <w:t>48.5</w:t>
            </w:r>
          </w:p>
        </w:tc>
        <w:tc>
          <w:tcPr>
            <w:tcW w:w="950" w:type="dxa"/>
          </w:tcPr>
          <w:p w14:paraId="423A1934" w14:textId="61F9F5D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43.7</w:t>
            </w:r>
          </w:p>
        </w:tc>
        <w:tc>
          <w:tcPr>
            <w:tcW w:w="968" w:type="dxa"/>
          </w:tcPr>
          <w:p w14:paraId="1EC27D3B" w14:textId="585EE80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67.8</w:t>
            </w:r>
          </w:p>
        </w:tc>
        <w:tc>
          <w:tcPr>
            <w:tcW w:w="969" w:type="dxa"/>
          </w:tcPr>
          <w:p w14:paraId="0C8BF2B0" w14:textId="4D7C571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6.0</w:t>
            </w:r>
          </w:p>
        </w:tc>
        <w:tc>
          <w:tcPr>
            <w:tcW w:w="921" w:type="dxa"/>
            <w:gridSpan w:val="2"/>
          </w:tcPr>
          <w:p w14:paraId="2FB2856D" w14:textId="642FD60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61.2</w:t>
            </w:r>
          </w:p>
        </w:tc>
        <w:tc>
          <w:tcPr>
            <w:tcW w:w="922" w:type="dxa"/>
          </w:tcPr>
          <w:p w14:paraId="354DCE25" w14:textId="05A0D6D3"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7.9</w:t>
            </w:r>
          </w:p>
        </w:tc>
        <w:tc>
          <w:tcPr>
            <w:tcW w:w="900" w:type="dxa"/>
          </w:tcPr>
          <w:p w14:paraId="115DC345" w14:textId="3D1412AE"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67</w:t>
            </w:r>
          </w:p>
        </w:tc>
        <w:tc>
          <w:tcPr>
            <w:tcW w:w="900" w:type="dxa"/>
          </w:tcPr>
          <w:p w14:paraId="2E291FE7" w14:textId="65275EA7"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90.7</w:t>
            </w:r>
          </w:p>
        </w:tc>
      </w:tr>
      <w:tr w:rsidR="004E4646" w14:paraId="3DBC9A23" w14:textId="7AB9ABD8" w:rsidTr="00CE142C">
        <w:tc>
          <w:tcPr>
            <w:tcW w:w="1426" w:type="dxa"/>
          </w:tcPr>
          <w:p w14:paraId="673CF8DC" w14:textId="3B716D57"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lastRenderedPageBreak/>
              <w:t xml:space="preserve">Educational services </w:t>
            </w:r>
          </w:p>
        </w:tc>
        <w:tc>
          <w:tcPr>
            <w:tcW w:w="949" w:type="dxa"/>
          </w:tcPr>
          <w:p w14:paraId="59BC7F65" w14:textId="04F687B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45.8</w:t>
            </w:r>
          </w:p>
        </w:tc>
        <w:tc>
          <w:tcPr>
            <w:tcW w:w="950" w:type="dxa"/>
          </w:tcPr>
          <w:p w14:paraId="29240470" w14:textId="3CD9F84A"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56.9</w:t>
            </w:r>
          </w:p>
        </w:tc>
        <w:tc>
          <w:tcPr>
            <w:tcW w:w="968" w:type="dxa"/>
          </w:tcPr>
          <w:p w14:paraId="3037818A" w14:textId="78D1464A"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60.8</w:t>
            </w:r>
          </w:p>
        </w:tc>
        <w:tc>
          <w:tcPr>
            <w:tcW w:w="969" w:type="dxa"/>
          </w:tcPr>
          <w:p w14:paraId="38044F0E" w14:textId="020B99C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65.9</w:t>
            </w:r>
          </w:p>
        </w:tc>
        <w:tc>
          <w:tcPr>
            <w:tcW w:w="921" w:type="dxa"/>
            <w:gridSpan w:val="2"/>
          </w:tcPr>
          <w:p w14:paraId="25F63449" w14:textId="098CA92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49.7</w:t>
            </w:r>
          </w:p>
        </w:tc>
        <w:tc>
          <w:tcPr>
            <w:tcW w:w="922" w:type="dxa"/>
          </w:tcPr>
          <w:p w14:paraId="25CC2F0B" w14:textId="57568A09"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32.8</w:t>
            </w:r>
          </w:p>
        </w:tc>
        <w:tc>
          <w:tcPr>
            <w:tcW w:w="900" w:type="dxa"/>
          </w:tcPr>
          <w:p w14:paraId="12203987" w14:textId="3CF2E9B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12.9</w:t>
            </w:r>
          </w:p>
        </w:tc>
        <w:tc>
          <w:tcPr>
            <w:tcW w:w="900" w:type="dxa"/>
          </w:tcPr>
          <w:p w14:paraId="40026FE2" w14:textId="2326F785"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68.9</w:t>
            </w:r>
          </w:p>
        </w:tc>
      </w:tr>
      <w:tr w:rsidR="004E4646" w14:paraId="0B58E662" w14:textId="388B1907" w:rsidTr="005224C6">
        <w:tc>
          <w:tcPr>
            <w:tcW w:w="1426" w:type="dxa"/>
          </w:tcPr>
          <w:p w14:paraId="563FE43D" w14:textId="5B5C1AA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Medical rehabilitation</w:t>
            </w:r>
          </w:p>
        </w:tc>
        <w:tc>
          <w:tcPr>
            <w:tcW w:w="949" w:type="dxa"/>
          </w:tcPr>
          <w:p w14:paraId="1A92D626" w14:textId="3AB9BD1D"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54.9</w:t>
            </w:r>
          </w:p>
        </w:tc>
        <w:tc>
          <w:tcPr>
            <w:tcW w:w="950" w:type="dxa"/>
          </w:tcPr>
          <w:p w14:paraId="6C23DC0A" w14:textId="4AEE13A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90.8</w:t>
            </w:r>
          </w:p>
        </w:tc>
        <w:tc>
          <w:tcPr>
            <w:tcW w:w="968" w:type="dxa"/>
          </w:tcPr>
          <w:p w14:paraId="584D6879" w14:textId="1DAB699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31.8</w:t>
            </w:r>
          </w:p>
        </w:tc>
        <w:tc>
          <w:tcPr>
            <w:tcW w:w="969" w:type="dxa"/>
          </w:tcPr>
          <w:p w14:paraId="16D9DC3A" w14:textId="20A458F9"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76.9</w:t>
            </w:r>
          </w:p>
        </w:tc>
        <w:tc>
          <w:tcPr>
            <w:tcW w:w="921" w:type="dxa"/>
            <w:gridSpan w:val="2"/>
          </w:tcPr>
          <w:p w14:paraId="36264376" w14:textId="285BC8AA"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12.7</w:t>
            </w:r>
          </w:p>
        </w:tc>
        <w:tc>
          <w:tcPr>
            <w:tcW w:w="922" w:type="dxa"/>
          </w:tcPr>
          <w:p w14:paraId="0DF0EB3C" w14:textId="6E172F7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49.0</w:t>
            </w:r>
          </w:p>
        </w:tc>
        <w:tc>
          <w:tcPr>
            <w:tcW w:w="900" w:type="dxa"/>
          </w:tcPr>
          <w:p w14:paraId="7840CEB3" w14:textId="6A5BF81C"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56.9</w:t>
            </w:r>
          </w:p>
        </w:tc>
        <w:tc>
          <w:tcPr>
            <w:tcW w:w="900" w:type="dxa"/>
          </w:tcPr>
          <w:p w14:paraId="4B4BF8E9" w14:textId="7FE59B9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34.1</w:t>
            </w:r>
          </w:p>
        </w:tc>
      </w:tr>
      <w:tr w:rsidR="004E4646" w14:paraId="421CD4A1" w14:textId="3C98D48B" w:rsidTr="00432B33">
        <w:tc>
          <w:tcPr>
            <w:tcW w:w="1426" w:type="dxa"/>
          </w:tcPr>
          <w:p w14:paraId="4D0E6772" w14:textId="53155E6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Counseling for disabled families </w:t>
            </w:r>
          </w:p>
        </w:tc>
        <w:tc>
          <w:tcPr>
            <w:tcW w:w="949" w:type="dxa"/>
          </w:tcPr>
          <w:p w14:paraId="64ED9310" w14:textId="561FEC60"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67.9</w:t>
            </w:r>
          </w:p>
        </w:tc>
        <w:tc>
          <w:tcPr>
            <w:tcW w:w="950" w:type="dxa"/>
          </w:tcPr>
          <w:p w14:paraId="3CA35815" w14:textId="23877AF7"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76.8</w:t>
            </w:r>
          </w:p>
        </w:tc>
        <w:tc>
          <w:tcPr>
            <w:tcW w:w="968" w:type="dxa"/>
          </w:tcPr>
          <w:p w14:paraId="31EBFD79" w14:textId="4707F70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89.7</w:t>
            </w:r>
          </w:p>
        </w:tc>
        <w:tc>
          <w:tcPr>
            <w:tcW w:w="969" w:type="dxa"/>
          </w:tcPr>
          <w:p w14:paraId="293D6815" w14:textId="213B95A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34.8</w:t>
            </w:r>
          </w:p>
        </w:tc>
        <w:tc>
          <w:tcPr>
            <w:tcW w:w="921" w:type="dxa"/>
            <w:gridSpan w:val="2"/>
          </w:tcPr>
          <w:p w14:paraId="2AD627B8" w14:textId="131D87F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47.9</w:t>
            </w:r>
          </w:p>
        </w:tc>
        <w:tc>
          <w:tcPr>
            <w:tcW w:w="922" w:type="dxa"/>
          </w:tcPr>
          <w:p w14:paraId="50D488DB" w14:textId="2671724E"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50.7</w:t>
            </w:r>
          </w:p>
        </w:tc>
        <w:tc>
          <w:tcPr>
            <w:tcW w:w="900" w:type="dxa"/>
          </w:tcPr>
          <w:p w14:paraId="0FF27E11" w14:textId="2947580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67.9</w:t>
            </w:r>
          </w:p>
        </w:tc>
        <w:tc>
          <w:tcPr>
            <w:tcW w:w="900" w:type="dxa"/>
          </w:tcPr>
          <w:p w14:paraId="4E1EA06D" w14:textId="7A61B57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67.3</w:t>
            </w:r>
          </w:p>
        </w:tc>
      </w:tr>
      <w:tr w:rsidR="004E4646" w14:paraId="1E00C703" w14:textId="07FD5DD4" w:rsidTr="00DC073E">
        <w:tc>
          <w:tcPr>
            <w:tcW w:w="1426" w:type="dxa"/>
          </w:tcPr>
          <w:p w14:paraId="73E64E7C" w14:textId="00470D7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Counseling for household</w:t>
            </w:r>
          </w:p>
        </w:tc>
        <w:tc>
          <w:tcPr>
            <w:tcW w:w="949" w:type="dxa"/>
          </w:tcPr>
          <w:p w14:paraId="5DA440FF" w14:textId="744B1EA3" w:rsidR="006A3B76" w:rsidRPr="006A3B76" w:rsidRDefault="00F974EC" w:rsidP="006A3B76">
            <w:pPr>
              <w:spacing w:line="480" w:lineRule="auto"/>
              <w:jc w:val="both"/>
              <w:rPr>
                <w:rFonts w:ascii="Times New Roman" w:hAnsi="Times New Roman" w:cs="Times New Roman"/>
                <w:sz w:val="24"/>
                <w:szCs w:val="24"/>
              </w:rPr>
            </w:pPr>
            <w:r w:rsidRPr="006A3B76">
              <w:rPr>
                <w:rFonts w:ascii="Times New Roman" w:hAnsi="Times New Roman" w:cs="Times New Roman"/>
                <w:sz w:val="24"/>
                <w:szCs w:val="24"/>
              </w:rPr>
              <w:t>48.9</w:t>
            </w:r>
          </w:p>
        </w:tc>
        <w:tc>
          <w:tcPr>
            <w:tcW w:w="950" w:type="dxa"/>
          </w:tcPr>
          <w:p w14:paraId="655DEC85" w14:textId="3CD7F816" w:rsidR="006A3B76" w:rsidRPr="006A3B76" w:rsidRDefault="00F974EC" w:rsidP="006A3B76">
            <w:pPr>
              <w:spacing w:line="480" w:lineRule="auto"/>
              <w:jc w:val="both"/>
              <w:rPr>
                <w:rFonts w:ascii="Times New Roman" w:hAnsi="Times New Roman" w:cs="Times New Roman"/>
                <w:sz w:val="24"/>
                <w:szCs w:val="24"/>
              </w:rPr>
            </w:pPr>
            <w:r w:rsidRPr="006A3B76">
              <w:rPr>
                <w:rFonts w:ascii="Times New Roman" w:hAnsi="Times New Roman" w:cs="Times New Roman"/>
                <w:sz w:val="24"/>
                <w:szCs w:val="24"/>
              </w:rPr>
              <w:t>70.3</w:t>
            </w:r>
          </w:p>
        </w:tc>
        <w:tc>
          <w:tcPr>
            <w:tcW w:w="968" w:type="dxa"/>
          </w:tcPr>
          <w:p w14:paraId="0A1B4ABA" w14:textId="2D3EA77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70.5</w:t>
            </w:r>
          </w:p>
        </w:tc>
        <w:tc>
          <w:tcPr>
            <w:tcW w:w="969" w:type="dxa"/>
          </w:tcPr>
          <w:p w14:paraId="5AAD8A44" w14:textId="727E02FC"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23.7</w:t>
            </w:r>
          </w:p>
        </w:tc>
        <w:tc>
          <w:tcPr>
            <w:tcW w:w="921" w:type="dxa"/>
            <w:gridSpan w:val="2"/>
          </w:tcPr>
          <w:p w14:paraId="4153CC2D" w14:textId="7674A936"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75.9</w:t>
            </w:r>
          </w:p>
        </w:tc>
        <w:tc>
          <w:tcPr>
            <w:tcW w:w="922" w:type="dxa"/>
          </w:tcPr>
          <w:p w14:paraId="1C52DF96" w14:textId="2534D26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47.6</w:t>
            </w:r>
          </w:p>
        </w:tc>
        <w:tc>
          <w:tcPr>
            <w:tcW w:w="900" w:type="dxa"/>
          </w:tcPr>
          <w:p w14:paraId="179F0EFA" w14:textId="5529BE8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90.1</w:t>
            </w:r>
          </w:p>
        </w:tc>
        <w:tc>
          <w:tcPr>
            <w:tcW w:w="900" w:type="dxa"/>
          </w:tcPr>
          <w:p w14:paraId="1E053488" w14:textId="5560EC0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65.1</w:t>
            </w:r>
          </w:p>
        </w:tc>
      </w:tr>
      <w:tr w:rsidR="004E4646" w14:paraId="7C56F8B3" w14:textId="48BD06D2" w:rsidTr="00EF1C75">
        <w:tc>
          <w:tcPr>
            <w:tcW w:w="1426" w:type="dxa"/>
          </w:tcPr>
          <w:p w14:paraId="2B1D2268" w14:textId="4822B4F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Traditional healer</w:t>
            </w:r>
          </w:p>
        </w:tc>
        <w:tc>
          <w:tcPr>
            <w:tcW w:w="949" w:type="dxa"/>
          </w:tcPr>
          <w:p w14:paraId="37967CFE" w14:textId="10C685D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86.0</w:t>
            </w:r>
          </w:p>
        </w:tc>
        <w:tc>
          <w:tcPr>
            <w:tcW w:w="950" w:type="dxa"/>
          </w:tcPr>
          <w:p w14:paraId="17BDB458" w14:textId="014F9D9D"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58.1</w:t>
            </w:r>
          </w:p>
        </w:tc>
        <w:tc>
          <w:tcPr>
            <w:tcW w:w="968" w:type="dxa"/>
          </w:tcPr>
          <w:p w14:paraId="475D38BC" w14:textId="4C935E2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45.8</w:t>
            </w:r>
          </w:p>
        </w:tc>
        <w:tc>
          <w:tcPr>
            <w:tcW w:w="969" w:type="dxa"/>
          </w:tcPr>
          <w:p w14:paraId="4A35C4C4" w14:textId="6980719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45.7</w:t>
            </w:r>
          </w:p>
        </w:tc>
        <w:tc>
          <w:tcPr>
            <w:tcW w:w="921" w:type="dxa"/>
            <w:gridSpan w:val="2"/>
          </w:tcPr>
          <w:p w14:paraId="48F90535" w14:textId="4765EC78"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23.8</w:t>
            </w:r>
          </w:p>
        </w:tc>
        <w:tc>
          <w:tcPr>
            <w:tcW w:w="922" w:type="dxa"/>
          </w:tcPr>
          <w:p w14:paraId="7FF9021E" w14:textId="34FDF0A5"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34.7</w:t>
            </w:r>
          </w:p>
        </w:tc>
        <w:tc>
          <w:tcPr>
            <w:tcW w:w="900" w:type="dxa"/>
          </w:tcPr>
          <w:p w14:paraId="7176FFE9" w14:textId="3FAF6733"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34.8</w:t>
            </w:r>
          </w:p>
        </w:tc>
        <w:tc>
          <w:tcPr>
            <w:tcW w:w="900" w:type="dxa"/>
          </w:tcPr>
          <w:p w14:paraId="16BB6FB9" w14:textId="45B626E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65.7</w:t>
            </w:r>
          </w:p>
        </w:tc>
      </w:tr>
      <w:tr w:rsidR="004E4646" w14:paraId="7DA17F29" w14:textId="2FB9BFFC" w:rsidTr="00494FB3">
        <w:tc>
          <w:tcPr>
            <w:tcW w:w="1426" w:type="dxa"/>
          </w:tcPr>
          <w:p w14:paraId="0F309393" w14:textId="70FF9ED4"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Vocational training </w:t>
            </w:r>
          </w:p>
        </w:tc>
        <w:tc>
          <w:tcPr>
            <w:tcW w:w="949" w:type="dxa"/>
          </w:tcPr>
          <w:p w14:paraId="6F64C975" w14:textId="711A2043"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32.9</w:t>
            </w:r>
          </w:p>
        </w:tc>
        <w:tc>
          <w:tcPr>
            <w:tcW w:w="950" w:type="dxa"/>
          </w:tcPr>
          <w:p w14:paraId="559A3057" w14:textId="2BDCA053"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41,5</w:t>
            </w:r>
          </w:p>
        </w:tc>
        <w:tc>
          <w:tcPr>
            <w:tcW w:w="968" w:type="dxa"/>
          </w:tcPr>
          <w:p w14:paraId="1C89EFE8" w14:textId="4716E3B7"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32.7</w:t>
            </w:r>
          </w:p>
        </w:tc>
        <w:tc>
          <w:tcPr>
            <w:tcW w:w="969" w:type="dxa"/>
          </w:tcPr>
          <w:p w14:paraId="25D1186F" w14:textId="70BA915F"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75.9</w:t>
            </w:r>
          </w:p>
        </w:tc>
        <w:tc>
          <w:tcPr>
            <w:tcW w:w="921" w:type="dxa"/>
            <w:gridSpan w:val="2"/>
          </w:tcPr>
          <w:p w14:paraId="76B76DB5" w14:textId="59D49A41"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40.9</w:t>
            </w:r>
          </w:p>
        </w:tc>
        <w:tc>
          <w:tcPr>
            <w:tcW w:w="922" w:type="dxa"/>
          </w:tcPr>
          <w:p w14:paraId="5A8CD1CF" w14:textId="5641872B"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89.0</w:t>
            </w:r>
          </w:p>
        </w:tc>
        <w:tc>
          <w:tcPr>
            <w:tcW w:w="900" w:type="dxa"/>
          </w:tcPr>
          <w:p w14:paraId="4A7A6DB3" w14:textId="6948E78D"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39.0</w:t>
            </w:r>
          </w:p>
        </w:tc>
        <w:tc>
          <w:tcPr>
            <w:tcW w:w="900" w:type="dxa"/>
          </w:tcPr>
          <w:p w14:paraId="0406EDBC" w14:textId="0D5AEB02" w:rsidR="006A3B76" w:rsidRPr="006A3B76" w:rsidRDefault="00F974EC" w:rsidP="006A3B76">
            <w:pPr>
              <w:spacing w:line="480" w:lineRule="auto"/>
              <w:rPr>
                <w:rFonts w:ascii="Times New Roman" w:hAnsi="Times New Roman" w:cs="Times New Roman"/>
                <w:sz w:val="24"/>
                <w:szCs w:val="24"/>
              </w:rPr>
            </w:pPr>
            <w:r w:rsidRPr="006A3B76">
              <w:rPr>
                <w:rFonts w:ascii="Times New Roman" w:hAnsi="Times New Roman" w:cs="Times New Roman"/>
                <w:sz w:val="24"/>
                <w:szCs w:val="24"/>
              </w:rPr>
              <w:t>12.9</w:t>
            </w:r>
          </w:p>
        </w:tc>
      </w:tr>
    </w:tbl>
    <w:p w14:paraId="3C3FBA3F" w14:textId="77777777" w:rsidR="006A3B76" w:rsidRPr="006A3B76" w:rsidRDefault="006A3B76" w:rsidP="006A3B76">
      <w:pPr>
        <w:spacing w:line="480" w:lineRule="auto"/>
        <w:rPr>
          <w:rFonts w:ascii="Times New Roman" w:hAnsi="Times New Roman" w:cs="Times New Roman"/>
          <w:sz w:val="24"/>
          <w:szCs w:val="24"/>
        </w:rPr>
      </w:pPr>
    </w:p>
    <w:p w14:paraId="0F4A25D3" w14:textId="224F266B" w:rsidR="006A3B76" w:rsidRPr="006A3B76" w:rsidRDefault="00F974EC" w:rsidP="006A3B76">
      <w:pPr>
        <w:pStyle w:val="ListParagraph"/>
        <w:numPr>
          <w:ilvl w:val="0"/>
          <w:numId w:val="1"/>
        </w:num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Percentage </w:t>
      </w:r>
      <w:r w:rsidR="00F925D0">
        <w:rPr>
          <w:rFonts w:ascii="Times New Roman" w:hAnsi="Times New Roman" w:cs="Times New Roman"/>
          <w:sz w:val="24"/>
          <w:szCs w:val="24"/>
        </w:rPr>
        <w:t>of the overall number of persons</w:t>
      </w:r>
      <w:r w:rsidRPr="006A3B76">
        <w:rPr>
          <w:rFonts w:ascii="Times New Roman" w:hAnsi="Times New Roman" w:cs="Times New Roman"/>
          <w:sz w:val="24"/>
          <w:szCs w:val="24"/>
        </w:rPr>
        <w:t xml:space="preserve"> living with disabilities who expressed need for help</w:t>
      </w:r>
    </w:p>
    <w:p w14:paraId="6886E22C" w14:textId="6D74120F" w:rsidR="006A3B76" w:rsidRPr="00477247" w:rsidRDefault="00F974EC" w:rsidP="00477247">
      <w:pPr>
        <w:pStyle w:val="ListParagraph"/>
        <w:numPr>
          <w:ilvl w:val="0"/>
          <w:numId w:val="1"/>
        </w:numPr>
        <w:spacing w:line="480" w:lineRule="auto"/>
        <w:rPr>
          <w:rFonts w:ascii="Times New Roman" w:hAnsi="Times New Roman" w:cs="Times New Roman"/>
          <w:sz w:val="24"/>
          <w:szCs w:val="24"/>
        </w:rPr>
      </w:pPr>
      <w:r w:rsidRPr="006A3B76">
        <w:rPr>
          <w:rFonts w:ascii="Times New Roman" w:hAnsi="Times New Roman" w:cs="Times New Roman"/>
          <w:sz w:val="24"/>
          <w:szCs w:val="24"/>
        </w:rPr>
        <w:t xml:space="preserve">Percentage </w:t>
      </w:r>
      <w:r w:rsidR="00F925D0">
        <w:rPr>
          <w:rFonts w:ascii="Times New Roman" w:hAnsi="Times New Roman" w:cs="Times New Roman"/>
          <w:sz w:val="24"/>
          <w:szCs w:val="24"/>
        </w:rPr>
        <w:t>of the overall number of persons</w:t>
      </w:r>
      <w:r w:rsidRPr="006A3B76">
        <w:rPr>
          <w:rFonts w:ascii="Times New Roman" w:hAnsi="Times New Roman" w:cs="Times New Roman"/>
          <w:sz w:val="24"/>
          <w:szCs w:val="24"/>
        </w:rPr>
        <w:t xml:space="preserve"> living with disabilities who accepted to have received the service </w:t>
      </w:r>
    </w:p>
    <w:p w14:paraId="09D9D397" w14:textId="77777777" w:rsidR="00477247" w:rsidRDefault="00F974EC">
      <w:pPr>
        <w:rPr>
          <w:rFonts w:ascii="Times New Roman" w:hAnsi="Times New Roman" w:cs="Times New Roman"/>
          <w:sz w:val="24"/>
          <w:szCs w:val="24"/>
        </w:rPr>
      </w:pPr>
      <w:r>
        <w:rPr>
          <w:rFonts w:ascii="Times New Roman" w:hAnsi="Times New Roman" w:cs="Times New Roman"/>
          <w:sz w:val="24"/>
          <w:szCs w:val="24"/>
        </w:rPr>
        <w:br w:type="page"/>
      </w:r>
    </w:p>
    <w:p w14:paraId="5B9F117C" w14:textId="0497066D" w:rsidR="006A3B76" w:rsidRPr="006A3B76" w:rsidRDefault="00F974EC" w:rsidP="00477247">
      <w:pPr>
        <w:spacing w:line="480" w:lineRule="auto"/>
        <w:jc w:val="center"/>
        <w:rPr>
          <w:rFonts w:ascii="Times New Roman" w:hAnsi="Times New Roman" w:cs="Times New Roman"/>
          <w:sz w:val="24"/>
          <w:szCs w:val="24"/>
        </w:rPr>
      </w:pPr>
      <w:r w:rsidRPr="006A3B76">
        <w:rPr>
          <w:rFonts w:ascii="Times New Roman" w:hAnsi="Times New Roman" w:cs="Times New Roman"/>
          <w:sz w:val="24"/>
          <w:szCs w:val="24"/>
        </w:rPr>
        <w:lastRenderedPageBreak/>
        <w:t>References</w:t>
      </w:r>
    </w:p>
    <w:p w14:paraId="006EA69B" w14:textId="77777777" w:rsidR="006A3B76" w:rsidRPr="006A3B76" w:rsidRDefault="00F974EC" w:rsidP="006A3B76">
      <w:pPr>
        <w:spacing w:line="480" w:lineRule="auto"/>
        <w:ind w:left="720" w:hanging="720"/>
        <w:rPr>
          <w:rFonts w:ascii="Times New Roman" w:hAnsi="Times New Roman" w:cs="Times New Roman"/>
          <w:color w:val="222222"/>
          <w:sz w:val="24"/>
          <w:szCs w:val="24"/>
          <w:shd w:val="clear" w:color="auto" w:fill="FFFFFF"/>
        </w:rPr>
      </w:pPr>
      <w:r w:rsidRPr="006A3B76">
        <w:rPr>
          <w:rFonts w:ascii="Times New Roman" w:hAnsi="Times New Roman" w:cs="Times New Roman"/>
          <w:color w:val="222222"/>
          <w:sz w:val="24"/>
          <w:szCs w:val="24"/>
          <w:shd w:val="clear" w:color="auto" w:fill="FFFFFF"/>
        </w:rPr>
        <w:t>Ailliet, L., Rubinstein, S. M., De Vet, H. C. W., Van Tulder, M. W., &amp;</w:t>
      </w:r>
      <w:r w:rsidRPr="006A3B76">
        <w:rPr>
          <w:rFonts w:ascii="Times New Roman" w:hAnsi="Times New Roman" w:cs="Times New Roman"/>
          <w:color w:val="222222"/>
          <w:sz w:val="24"/>
          <w:szCs w:val="24"/>
          <w:shd w:val="clear" w:color="auto" w:fill="FFFFFF"/>
        </w:rPr>
        <w:t xml:space="preserve"> Terwee, C. B. (2015). Reliability, responsiveness and interpretability of the neck disability index-Dutch version in primary care. </w:t>
      </w:r>
      <w:r w:rsidRPr="006A3B76">
        <w:rPr>
          <w:rFonts w:ascii="Times New Roman" w:hAnsi="Times New Roman" w:cs="Times New Roman"/>
          <w:i/>
          <w:iCs/>
          <w:color w:val="222222"/>
          <w:sz w:val="24"/>
          <w:szCs w:val="24"/>
          <w:shd w:val="clear" w:color="auto" w:fill="FFFFFF"/>
        </w:rPr>
        <w:t>European Spine Journal</w:t>
      </w:r>
      <w:r w:rsidRPr="006A3B76">
        <w:rPr>
          <w:rFonts w:ascii="Times New Roman" w:hAnsi="Times New Roman" w:cs="Times New Roman"/>
          <w:color w:val="222222"/>
          <w:sz w:val="24"/>
          <w:szCs w:val="24"/>
          <w:shd w:val="clear" w:color="auto" w:fill="FFFFFF"/>
        </w:rPr>
        <w:t>, </w:t>
      </w:r>
      <w:r w:rsidRPr="006A3B76">
        <w:rPr>
          <w:rFonts w:ascii="Times New Roman" w:hAnsi="Times New Roman" w:cs="Times New Roman"/>
          <w:i/>
          <w:iCs/>
          <w:color w:val="222222"/>
          <w:sz w:val="24"/>
          <w:szCs w:val="24"/>
          <w:shd w:val="clear" w:color="auto" w:fill="FFFFFF"/>
        </w:rPr>
        <w:t>24</w:t>
      </w:r>
      <w:r w:rsidRPr="006A3B76">
        <w:rPr>
          <w:rFonts w:ascii="Times New Roman" w:hAnsi="Times New Roman" w:cs="Times New Roman"/>
          <w:color w:val="222222"/>
          <w:sz w:val="24"/>
          <w:szCs w:val="24"/>
          <w:shd w:val="clear" w:color="auto" w:fill="FFFFFF"/>
        </w:rPr>
        <w:t>(1), 88-93.</w:t>
      </w:r>
    </w:p>
    <w:p w14:paraId="2FFA32A5" w14:textId="77777777" w:rsidR="006A3B76" w:rsidRPr="006A3B76" w:rsidRDefault="00F974EC" w:rsidP="006A3B76">
      <w:pPr>
        <w:spacing w:line="480" w:lineRule="auto"/>
        <w:ind w:left="720" w:hanging="720"/>
        <w:rPr>
          <w:rFonts w:ascii="Times New Roman" w:hAnsi="Times New Roman" w:cs="Times New Roman"/>
          <w:sz w:val="24"/>
          <w:szCs w:val="24"/>
        </w:rPr>
      </w:pPr>
      <w:r w:rsidRPr="006A3B76">
        <w:rPr>
          <w:rFonts w:ascii="Times New Roman" w:hAnsi="Times New Roman" w:cs="Times New Roman"/>
          <w:color w:val="222222"/>
          <w:sz w:val="24"/>
          <w:szCs w:val="24"/>
          <w:shd w:val="clear" w:color="auto" w:fill="FFFFFF"/>
        </w:rPr>
        <w:t xml:space="preserve">Bogart, K. R. (2015). Disability identity predicts lower anxiety and depression in </w:t>
      </w:r>
      <w:r w:rsidRPr="006A3B76">
        <w:rPr>
          <w:rFonts w:ascii="Times New Roman" w:hAnsi="Times New Roman" w:cs="Times New Roman"/>
          <w:color w:val="222222"/>
          <w:sz w:val="24"/>
          <w:szCs w:val="24"/>
          <w:shd w:val="clear" w:color="auto" w:fill="FFFFFF"/>
        </w:rPr>
        <w:t>multiple sclerosis. </w:t>
      </w:r>
      <w:r w:rsidRPr="006A3B76">
        <w:rPr>
          <w:rFonts w:ascii="Times New Roman" w:hAnsi="Times New Roman" w:cs="Times New Roman"/>
          <w:i/>
          <w:iCs/>
          <w:color w:val="222222"/>
          <w:sz w:val="24"/>
          <w:szCs w:val="24"/>
          <w:shd w:val="clear" w:color="auto" w:fill="FFFFFF"/>
        </w:rPr>
        <w:t>Rehabilitation Psychology</w:t>
      </w:r>
      <w:r w:rsidRPr="006A3B76">
        <w:rPr>
          <w:rFonts w:ascii="Times New Roman" w:hAnsi="Times New Roman" w:cs="Times New Roman"/>
          <w:color w:val="222222"/>
          <w:sz w:val="24"/>
          <w:szCs w:val="24"/>
          <w:shd w:val="clear" w:color="auto" w:fill="FFFFFF"/>
        </w:rPr>
        <w:t>, </w:t>
      </w:r>
      <w:r w:rsidRPr="006A3B76">
        <w:rPr>
          <w:rFonts w:ascii="Times New Roman" w:hAnsi="Times New Roman" w:cs="Times New Roman"/>
          <w:i/>
          <w:iCs/>
          <w:color w:val="222222"/>
          <w:sz w:val="24"/>
          <w:szCs w:val="24"/>
          <w:shd w:val="clear" w:color="auto" w:fill="FFFFFF"/>
        </w:rPr>
        <w:t>60</w:t>
      </w:r>
      <w:r w:rsidRPr="006A3B76">
        <w:rPr>
          <w:rFonts w:ascii="Times New Roman" w:hAnsi="Times New Roman" w:cs="Times New Roman"/>
          <w:color w:val="222222"/>
          <w:sz w:val="24"/>
          <w:szCs w:val="24"/>
          <w:shd w:val="clear" w:color="auto" w:fill="FFFFFF"/>
        </w:rPr>
        <w:t>(1), 105.</w:t>
      </w:r>
    </w:p>
    <w:p w14:paraId="2C75AF79" w14:textId="77777777" w:rsidR="006A3B76" w:rsidRPr="006A3B76" w:rsidRDefault="00F974EC" w:rsidP="006A3B76">
      <w:pPr>
        <w:spacing w:line="480" w:lineRule="auto"/>
        <w:ind w:left="720" w:hanging="720"/>
        <w:rPr>
          <w:rFonts w:ascii="Times New Roman" w:hAnsi="Times New Roman" w:cs="Times New Roman"/>
          <w:color w:val="222222"/>
          <w:sz w:val="24"/>
          <w:szCs w:val="24"/>
          <w:shd w:val="clear" w:color="auto" w:fill="FFFFFF"/>
        </w:rPr>
      </w:pPr>
      <w:r w:rsidRPr="006A3B76">
        <w:rPr>
          <w:rFonts w:ascii="Times New Roman" w:hAnsi="Times New Roman" w:cs="Times New Roman"/>
          <w:color w:val="222222"/>
          <w:sz w:val="24"/>
          <w:szCs w:val="24"/>
          <w:shd w:val="clear" w:color="auto" w:fill="FFFFFF"/>
        </w:rPr>
        <w:t>Moodley, J., &amp; Graham, L. (2015). The importance of intersectionality in disability and gender studies. </w:t>
      </w:r>
      <w:r w:rsidRPr="006A3B76">
        <w:rPr>
          <w:rFonts w:ascii="Times New Roman" w:hAnsi="Times New Roman" w:cs="Times New Roman"/>
          <w:i/>
          <w:iCs/>
          <w:color w:val="222222"/>
          <w:sz w:val="24"/>
          <w:szCs w:val="24"/>
          <w:shd w:val="clear" w:color="auto" w:fill="FFFFFF"/>
        </w:rPr>
        <w:t>Agenda</w:t>
      </w:r>
      <w:r w:rsidRPr="006A3B76">
        <w:rPr>
          <w:rFonts w:ascii="Times New Roman" w:hAnsi="Times New Roman" w:cs="Times New Roman"/>
          <w:color w:val="222222"/>
          <w:sz w:val="24"/>
          <w:szCs w:val="24"/>
          <w:shd w:val="clear" w:color="auto" w:fill="FFFFFF"/>
        </w:rPr>
        <w:t>, </w:t>
      </w:r>
      <w:r w:rsidRPr="006A3B76">
        <w:rPr>
          <w:rFonts w:ascii="Times New Roman" w:hAnsi="Times New Roman" w:cs="Times New Roman"/>
          <w:i/>
          <w:iCs/>
          <w:color w:val="222222"/>
          <w:sz w:val="24"/>
          <w:szCs w:val="24"/>
          <w:shd w:val="clear" w:color="auto" w:fill="FFFFFF"/>
        </w:rPr>
        <w:t>29</w:t>
      </w:r>
      <w:r w:rsidRPr="006A3B76">
        <w:rPr>
          <w:rFonts w:ascii="Times New Roman" w:hAnsi="Times New Roman" w:cs="Times New Roman"/>
          <w:color w:val="222222"/>
          <w:sz w:val="24"/>
          <w:szCs w:val="24"/>
          <w:shd w:val="clear" w:color="auto" w:fill="FFFFFF"/>
        </w:rPr>
        <w:t>(2), 24-33.</w:t>
      </w:r>
    </w:p>
    <w:p w14:paraId="39D97788" w14:textId="77777777" w:rsidR="006A3B76" w:rsidRPr="006A3B76" w:rsidRDefault="00F974EC" w:rsidP="006A3B76">
      <w:pPr>
        <w:spacing w:line="480" w:lineRule="auto"/>
        <w:ind w:left="720" w:hanging="720"/>
        <w:rPr>
          <w:rFonts w:ascii="Times New Roman" w:hAnsi="Times New Roman" w:cs="Times New Roman"/>
          <w:color w:val="222222"/>
          <w:sz w:val="24"/>
          <w:szCs w:val="24"/>
          <w:shd w:val="clear" w:color="auto" w:fill="FFFFFF"/>
        </w:rPr>
      </w:pPr>
      <w:r w:rsidRPr="006A3B76">
        <w:rPr>
          <w:rFonts w:ascii="Times New Roman" w:hAnsi="Times New Roman" w:cs="Times New Roman"/>
          <w:color w:val="222222"/>
          <w:sz w:val="24"/>
          <w:szCs w:val="24"/>
          <w:shd w:val="clear" w:color="auto" w:fill="FFFFFF"/>
        </w:rPr>
        <w:t>Sabariego, C., Oberhauser, C., Posarac, A., Bickenbach, J., Kostanjsek,</w:t>
      </w:r>
      <w:r w:rsidRPr="006A3B76">
        <w:rPr>
          <w:rFonts w:ascii="Times New Roman" w:hAnsi="Times New Roman" w:cs="Times New Roman"/>
          <w:color w:val="222222"/>
          <w:sz w:val="24"/>
          <w:szCs w:val="24"/>
          <w:shd w:val="clear" w:color="auto" w:fill="FFFFFF"/>
        </w:rPr>
        <w:t xml:space="preserve"> N., Chatterji, S., ... &amp; Cieza, A. (2015). Measuring disability: Comparing the impact of two data collection approaches on disability rates. </w:t>
      </w:r>
      <w:r w:rsidRPr="006A3B76">
        <w:rPr>
          <w:rFonts w:ascii="Times New Roman" w:hAnsi="Times New Roman" w:cs="Times New Roman"/>
          <w:i/>
          <w:iCs/>
          <w:color w:val="222222"/>
          <w:sz w:val="24"/>
          <w:szCs w:val="24"/>
          <w:shd w:val="clear" w:color="auto" w:fill="FFFFFF"/>
        </w:rPr>
        <w:t>International journal of environmental research and public health</w:t>
      </w:r>
      <w:r w:rsidRPr="006A3B76">
        <w:rPr>
          <w:rFonts w:ascii="Times New Roman" w:hAnsi="Times New Roman" w:cs="Times New Roman"/>
          <w:color w:val="222222"/>
          <w:sz w:val="24"/>
          <w:szCs w:val="24"/>
          <w:shd w:val="clear" w:color="auto" w:fill="FFFFFF"/>
        </w:rPr>
        <w:t>, </w:t>
      </w:r>
      <w:r w:rsidRPr="006A3B76">
        <w:rPr>
          <w:rFonts w:ascii="Times New Roman" w:hAnsi="Times New Roman" w:cs="Times New Roman"/>
          <w:i/>
          <w:iCs/>
          <w:color w:val="222222"/>
          <w:sz w:val="24"/>
          <w:szCs w:val="24"/>
          <w:shd w:val="clear" w:color="auto" w:fill="FFFFFF"/>
        </w:rPr>
        <w:t>12</w:t>
      </w:r>
      <w:r w:rsidRPr="006A3B76">
        <w:rPr>
          <w:rFonts w:ascii="Times New Roman" w:hAnsi="Times New Roman" w:cs="Times New Roman"/>
          <w:color w:val="222222"/>
          <w:sz w:val="24"/>
          <w:szCs w:val="24"/>
          <w:shd w:val="clear" w:color="auto" w:fill="FFFFFF"/>
        </w:rPr>
        <w:t>(9), 10329-10351.</w:t>
      </w:r>
    </w:p>
    <w:p w14:paraId="66CB71EF" w14:textId="77777777" w:rsidR="006A3B76" w:rsidRPr="006A3B76" w:rsidRDefault="00F974EC" w:rsidP="006A3B76">
      <w:pPr>
        <w:spacing w:line="480" w:lineRule="auto"/>
        <w:ind w:left="720" w:hanging="720"/>
        <w:rPr>
          <w:rFonts w:ascii="Times New Roman" w:hAnsi="Times New Roman" w:cs="Times New Roman"/>
          <w:color w:val="222222"/>
          <w:sz w:val="24"/>
          <w:szCs w:val="24"/>
          <w:shd w:val="clear" w:color="auto" w:fill="FFFFFF"/>
        </w:rPr>
      </w:pPr>
      <w:r w:rsidRPr="006A3B76">
        <w:rPr>
          <w:rFonts w:ascii="Times New Roman" w:hAnsi="Times New Roman" w:cs="Times New Roman"/>
          <w:color w:val="222222"/>
          <w:sz w:val="24"/>
          <w:szCs w:val="24"/>
          <w:shd w:val="clear" w:color="auto" w:fill="FFFFFF"/>
        </w:rPr>
        <w:t>Stein, M. A. (2017). Disabi</w:t>
      </w:r>
      <w:r w:rsidRPr="006A3B76">
        <w:rPr>
          <w:rFonts w:ascii="Times New Roman" w:hAnsi="Times New Roman" w:cs="Times New Roman"/>
          <w:color w:val="222222"/>
          <w:sz w:val="24"/>
          <w:szCs w:val="24"/>
          <w:shd w:val="clear" w:color="auto" w:fill="FFFFFF"/>
        </w:rPr>
        <w:t>lity human rights. In </w:t>
      </w:r>
      <w:r w:rsidRPr="006A3B76">
        <w:rPr>
          <w:rFonts w:ascii="Times New Roman" w:hAnsi="Times New Roman" w:cs="Times New Roman"/>
          <w:i/>
          <w:iCs/>
          <w:color w:val="222222"/>
          <w:sz w:val="24"/>
          <w:szCs w:val="24"/>
          <w:shd w:val="clear" w:color="auto" w:fill="FFFFFF"/>
        </w:rPr>
        <w:t>Nussbaum and Law</w:t>
      </w:r>
      <w:r w:rsidRPr="006A3B76">
        <w:rPr>
          <w:rFonts w:ascii="Times New Roman" w:hAnsi="Times New Roman" w:cs="Times New Roman"/>
          <w:color w:val="222222"/>
          <w:sz w:val="24"/>
          <w:szCs w:val="24"/>
          <w:shd w:val="clear" w:color="auto" w:fill="FFFFFF"/>
        </w:rPr>
        <w:t> (pp. 3-49). Routledge.</w:t>
      </w:r>
    </w:p>
    <w:sectPr w:rsidR="006A3B76" w:rsidRPr="006A3B76" w:rsidSect="006A3B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CF180" w14:textId="77777777" w:rsidR="00F974EC" w:rsidRDefault="00F974EC">
      <w:pPr>
        <w:spacing w:after="0" w:line="240" w:lineRule="auto"/>
      </w:pPr>
      <w:r>
        <w:separator/>
      </w:r>
    </w:p>
  </w:endnote>
  <w:endnote w:type="continuationSeparator" w:id="0">
    <w:p w14:paraId="5771C161" w14:textId="77777777" w:rsidR="00F974EC" w:rsidRDefault="00F97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5AD63" w14:textId="77777777" w:rsidR="00F974EC" w:rsidRDefault="00F974EC">
      <w:pPr>
        <w:spacing w:after="0" w:line="240" w:lineRule="auto"/>
      </w:pPr>
      <w:r>
        <w:separator/>
      </w:r>
    </w:p>
  </w:footnote>
  <w:footnote w:type="continuationSeparator" w:id="0">
    <w:p w14:paraId="1295B0D3" w14:textId="77777777" w:rsidR="00F974EC" w:rsidRDefault="00F974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BE672" w14:textId="32943FD7" w:rsidR="006A3B76" w:rsidRPr="00477247" w:rsidRDefault="00F974EC">
    <w:pPr>
      <w:pStyle w:val="Header"/>
      <w:rPr>
        <w:rFonts w:ascii="Times New Roman" w:hAnsi="Times New Roman" w:cs="Times New Roman"/>
        <w:sz w:val="24"/>
        <w:szCs w:val="24"/>
      </w:rPr>
    </w:pPr>
    <w:r w:rsidRPr="00477247">
      <w:rPr>
        <w:rFonts w:ascii="Times New Roman" w:hAnsi="Times New Roman" w:cs="Times New Roman"/>
        <w:sz w:val="24"/>
        <w:szCs w:val="24"/>
      </w:rPr>
      <w:t>DISABILITY DATA</w:t>
    </w:r>
    <w:r w:rsidRPr="00477247">
      <w:rPr>
        <w:rFonts w:ascii="Times New Roman" w:hAnsi="Times New Roman" w:cs="Times New Roman"/>
        <w:sz w:val="24"/>
        <w:szCs w:val="24"/>
      </w:rPr>
      <w:tab/>
    </w:r>
    <w:r w:rsidRPr="00477247">
      <w:rPr>
        <w:rFonts w:ascii="Times New Roman" w:hAnsi="Times New Roman" w:cs="Times New Roman"/>
        <w:sz w:val="24"/>
        <w:szCs w:val="24"/>
      </w:rPr>
      <w:tab/>
      <w:t xml:space="preserve"> </w:t>
    </w:r>
    <w:r w:rsidRPr="00477247">
      <w:rPr>
        <w:rFonts w:ascii="Times New Roman" w:hAnsi="Times New Roman" w:cs="Times New Roman"/>
        <w:sz w:val="24"/>
        <w:szCs w:val="24"/>
      </w:rPr>
      <w:fldChar w:fldCharType="begin"/>
    </w:r>
    <w:r w:rsidRPr="00477247">
      <w:rPr>
        <w:rFonts w:ascii="Times New Roman" w:hAnsi="Times New Roman" w:cs="Times New Roman"/>
        <w:sz w:val="24"/>
        <w:szCs w:val="24"/>
      </w:rPr>
      <w:instrText xml:space="preserve"> PAGE   \* MERGEFORMAT </w:instrText>
    </w:r>
    <w:r w:rsidRPr="00477247">
      <w:rPr>
        <w:rFonts w:ascii="Times New Roman" w:hAnsi="Times New Roman" w:cs="Times New Roman"/>
        <w:sz w:val="24"/>
        <w:szCs w:val="24"/>
      </w:rPr>
      <w:fldChar w:fldCharType="separate"/>
    </w:r>
    <w:r w:rsidR="006C4FF2">
      <w:rPr>
        <w:rFonts w:ascii="Times New Roman" w:hAnsi="Times New Roman" w:cs="Times New Roman"/>
        <w:noProof/>
        <w:sz w:val="24"/>
        <w:szCs w:val="24"/>
      </w:rPr>
      <w:t>2</w:t>
    </w:r>
    <w:r w:rsidRPr="0047724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03459" w14:textId="6A4FB93B" w:rsidR="006A3B76" w:rsidRPr="006A3B76" w:rsidRDefault="00F974EC">
    <w:pPr>
      <w:pStyle w:val="Header"/>
      <w:rPr>
        <w:rFonts w:ascii="Times New Roman" w:hAnsi="Times New Roman" w:cs="Times New Roman"/>
        <w:sz w:val="24"/>
        <w:szCs w:val="24"/>
      </w:rPr>
    </w:pPr>
    <w:r w:rsidRPr="006A3B76">
      <w:rPr>
        <w:rFonts w:ascii="Times New Roman" w:hAnsi="Times New Roman" w:cs="Times New Roman"/>
        <w:sz w:val="24"/>
        <w:szCs w:val="24"/>
      </w:rPr>
      <w:t xml:space="preserve">Running head: </w:t>
    </w:r>
    <w:r>
      <w:rPr>
        <w:rFonts w:ascii="Times New Roman" w:hAnsi="Times New Roman" w:cs="Times New Roman"/>
        <w:sz w:val="24"/>
        <w:szCs w:val="24"/>
      </w:rPr>
      <w:t>DISABILITY DATA</w:t>
    </w:r>
    <w:r>
      <w:rPr>
        <w:rFonts w:ascii="Times New Roman" w:hAnsi="Times New Roman" w:cs="Times New Roman"/>
        <w:sz w:val="24"/>
        <w:szCs w:val="24"/>
      </w:rPr>
      <w:tab/>
    </w:r>
    <w:r>
      <w:rPr>
        <w:rFonts w:ascii="Times New Roman" w:hAnsi="Times New Roman" w:cs="Times New Roman"/>
        <w:sz w:val="24"/>
        <w:szCs w:val="24"/>
      </w:rPr>
      <w:tab/>
    </w:r>
    <w:r w:rsidRPr="006A3B76">
      <w:rPr>
        <w:rFonts w:ascii="Times New Roman" w:hAnsi="Times New Roman" w:cs="Times New Roman"/>
        <w:sz w:val="24"/>
        <w:szCs w:val="24"/>
      </w:rPr>
      <w:fldChar w:fldCharType="begin"/>
    </w:r>
    <w:r w:rsidRPr="006A3B76">
      <w:rPr>
        <w:rFonts w:ascii="Times New Roman" w:hAnsi="Times New Roman" w:cs="Times New Roman"/>
        <w:sz w:val="24"/>
        <w:szCs w:val="24"/>
      </w:rPr>
      <w:instrText xml:space="preserve"> PAGE   \* MERGEFORMAT </w:instrText>
    </w:r>
    <w:r w:rsidRPr="006A3B76">
      <w:rPr>
        <w:rFonts w:ascii="Times New Roman" w:hAnsi="Times New Roman" w:cs="Times New Roman"/>
        <w:sz w:val="24"/>
        <w:szCs w:val="24"/>
      </w:rPr>
      <w:fldChar w:fldCharType="separate"/>
    </w:r>
    <w:r w:rsidR="006C4FF2">
      <w:rPr>
        <w:rFonts w:ascii="Times New Roman" w:hAnsi="Times New Roman" w:cs="Times New Roman"/>
        <w:noProof/>
        <w:sz w:val="24"/>
        <w:szCs w:val="24"/>
      </w:rPr>
      <w:t>1</w:t>
    </w:r>
    <w:r w:rsidRPr="006A3B7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3110D"/>
    <w:multiLevelType w:val="hybridMultilevel"/>
    <w:tmpl w:val="8362DDC4"/>
    <w:lvl w:ilvl="0" w:tplc="5AB8DFA8">
      <w:start w:val="1"/>
      <w:numFmt w:val="upperLetter"/>
      <w:lvlText w:val="%1."/>
      <w:lvlJc w:val="left"/>
      <w:pPr>
        <w:ind w:left="720" w:hanging="360"/>
      </w:pPr>
      <w:rPr>
        <w:rFonts w:hint="default"/>
      </w:rPr>
    </w:lvl>
    <w:lvl w:ilvl="1" w:tplc="D0947D00" w:tentative="1">
      <w:start w:val="1"/>
      <w:numFmt w:val="lowerLetter"/>
      <w:lvlText w:val="%2."/>
      <w:lvlJc w:val="left"/>
      <w:pPr>
        <w:ind w:left="1440" w:hanging="360"/>
      </w:pPr>
    </w:lvl>
    <w:lvl w:ilvl="2" w:tplc="060EC24E" w:tentative="1">
      <w:start w:val="1"/>
      <w:numFmt w:val="lowerRoman"/>
      <w:lvlText w:val="%3."/>
      <w:lvlJc w:val="right"/>
      <w:pPr>
        <w:ind w:left="2160" w:hanging="180"/>
      </w:pPr>
    </w:lvl>
    <w:lvl w:ilvl="3" w:tplc="D4CAC1D4" w:tentative="1">
      <w:start w:val="1"/>
      <w:numFmt w:val="decimal"/>
      <w:lvlText w:val="%4."/>
      <w:lvlJc w:val="left"/>
      <w:pPr>
        <w:ind w:left="2880" w:hanging="360"/>
      </w:pPr>
    </w:lvl>
    <w:lvl w:ilvl="4" w:tplc="7EAE7162" w:tentative="1">
      <w:start w:val="1"/>
      <w:numFmt w:val="lowerLetter"/>
      <w:lvlText w:val="%5."/>
      <w:lvlJc w:val="left"/>
      <w:pPr>
        <w:ind w:left="3600" w:hanging="360"/>
      </w:pPr>
    </w:lvl>
    <w:lvl w:ilvl="5" w:tplc="2F52C8F8" w:tentative="1">
      <w:start w:val="1"/>
      <w:numFmt w:val="lowerRoman"/>
      <w:lvlText w:val="%6."/>
      <w:lvlJc w:val="right"/>
      <w:pPr>
        <w:ind w:left="4320" w:hanging="180"/>
      </w:pPr>
    </w:lvl>
    <w:lvl w:ilvl="6" w:tplc="737E040C" w:tentative="1">
      <w:start w:val="1"/>
      <w:numFmt w:val="decimal"/>
      <w:lvlText w:val="%7."/>
      <w:lvlJc w:val="left"/>
      <w:pPr>
        <w:ind w:left="5040" w:hanging="360"/>
      </w:pPr>
    </w:lvl>
    <w:lvl w:ilvl="7" w:tplc="ACB083BE" w:tentative="1">
      <w:start w:val="1"/>
      <w:numFmt w:val="lowerLetter"/>
      <w:lvlText w:val="%8."/>
      <w:lvlJc w:val="left"/>
      <w:pPr>
        <w:ind w:left="5760" w:hanging="360"/>
      </w:pPr>
    </w:lvl>
    <w:lvl w:ilvl="8" w:tplc="B32C34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C67"/>
    <w:rsid w:val="002D41DB"/>
    <w:rsid w:val="00477247"/>
    <w:rsid w:val="004E4646"/>
    <w:rsid w:val="006A3B76"/>
    <w:rsid w:val="006C4FF2"/>
    <w:rsid w:val="007F7CB3"/>
    <w:rsid w:val="00A17B1C"/>
    <w:rsid w:val="00A81309"/>
    <w:rsid w:val="00B10C67"/>
    <w:rsid w:val="00E33AC1"/>
    <w:rsid w:val="00F925D0"/>
    <w:rsid w:val="00F974EC"/>
    <w:rsid w:val="00FC3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76"/>
  </w:style>
  <w:style w:type="paragraph" w:styleId="Footer">
    <w:name w:val="footer"/>
    <w:basedOn w:val="Normal"/>
    <w:link w:val="FooterChar"/>
    <w:uiPriority w:val="99"/>
    <w:unhideWhenUsed/>
    <w:rsid w:val="006A3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76"/>
  </w:style>
  <w:style w:type="table" w:styleId="TableGrid">
    <w:name w:val="Table Grid"/>
    <w:basedOn w:val="TableNormal"/>
    <w:uiPriority w:val="39"/>
    <w:rsid w:val="006A3B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3B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76"/>
  </w:style>
  <w:style w:type="paragraph" w:styleId="Footer">
    <w:name w:val="footer"/>
    <w:basedOn w:val="Normal"/>
    <w:link w:val="FooterChar"/>
    <w:uiPriority w:val="99"/>
    <w:unhideWhenUsed/>
    <w:rsid w:val="006A3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76"/>
  </w:style>
  <w:style w:type="table" w:styleId="TableGrid">
    <w:name w:val="Table Grid"/>
    <w:basedOn w:val="TableNormal"/>
    <w:uiPriority w:val="39"/>
    <w:rsid w:val="006A3B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3B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8</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2019-09-18T18:39:00Z</dcterms:created>
  <dcterms:modified xsi:type="dcterms:W3CDTF">2019-09-20T18:02:00Z</dcterms:modified>
</cp:coreProperties>
</file>